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BF86C" w14:textId="77777777" w:rsidR="005936AD" w:rsidRPr="001A793B" w:rsidRDefault="005936AD" w:rsidP="001A793B">
      <w:pPr>
        <w:spacing w:after="0" w:line="276" w:lineRule="auto"/>
        <w:rPr>
          <w:rFonts w:cstheme="minorHAnsi"/>
          <w:b/>
          <w:bCs/>
          <w:sz w:val="20"/>
          <w:szCs w:val="20"/>
        </w:rPr>
      </w:pPr>
    </w:p>
    <w:p w14:paraId="1125F739" w14:textId="26517FAB" w:rsidR="00690318" w:rsidRPr="00165591" w:rsidRDefault="00535DF8" w:rsidP="001A793B">
      <w:pPr>
        <w:spacing w:after="0" w:line="276" w:lineRule="auto"/>
        <w:jc w:val="center"/>
        <w:rPr>
          <w:rFonts w:cstheme="minorHAnsi"/>
          <w:b/>
          <w:bCs/>
          <w:sz w:val="28"/>
          <w:szCs w:val="28"/>
        </w:rPr>
      </w:pPr>
      <w:r w:rsidRPr="00165591">
        <w:rPr>
          <w:rFonts w:cstheme="minorHAnsi"/>
          <w:b/>
          <w:bCs/>
          <w:sz w:val="28"/>
          <w:szCs w:val="28"/>
        </w:rPr>
        <w:t>P</w:t>
      </w:r>
      <w:r w:rsidR="00646C78" w:rsidRPr="00165591">
        <w:rPr>
          <w:rFonts w:cstheme="minorHAnsi"/>
          <w:b/>
          <w:bCs/>
          <w:sz w:val="28"/>
          <w:szCs w:val="28"/>
        </w:rPr>
        <w:t xml:space="preserve">lan </w:t>
      </w:r>
      <w:r w:rsidR="00DF5B82" w:rsidRPr="00165591">
        <w:rPr>
          <w:rFonts w:cstheme="minorHAnsi"/>
          <w:b/>
          <w:bCs/>
          <w:sz w:val="28"/>
          <w:szCs w:val="28"/>
        </w:rPr>
        <w:t xml:space="preserve">pour la reprise et la résilience </w:t>
      </w:r>
    </w:p>
    <w:p w14:paraId="38B15B4A" w14:textId="148F4AE1" w:rsidR="00690318" w:rsidRPr="00165591" w:rsidRDefault="00CE3E5D" w:rsidP="001A793B">
      <w:pPr>
        <w:spacing w:after="0" w:line="276" w:lineRule="auto"/>
        <w:rPr>
          <w:rFonts w:cstheme="minorHAnsi"/>
          <w:b/>
          <w:bCs/>
          <w:sz w:val="24"/>
          <w:szCs w:val="24"/>
        </w:rPr>
      </w:pPr>
      <w:r w:rsidRPr="00165591">
        <w:rPr>
          <w:rFonts w:cstheme="minorHAnsi"/>
          <w:b/>
          <w:bCs/>
          <w:sz w:val="24"/>
          <w:szCs w:val="24"/>
        </w:rPr>
        <w:t>Questions et réponses</w:t>
      </w:r>
      <w:r w:rsidR="00DB452A">
        <w:rPr>
          <w:rStyle w:val="Appelnotedebasdep"/>
          <w:rFonts w:cstheme="minorHAnsi"/>
          <w:b/>
          <w:bCs/>
          <w:sz w:val="24"/>
          <w:szCs w:val="24"/>
        </w:rPr>
        <w:footnoteReference w:id="2"/>
      </w:r>
    </w:p>
    <w:p w14:paraId="70194D0B" w14:textId="77777777" w:rsidR="001A793B" w:rsidRPr="001A793B" w:rsidRDefault="001A793B" w:rsidP="001A793B">
      <w:pPr>
        <w:spacing w:after="0" w:line="276" w:lineRule="auto"/>
        <w:rPr>
          <w:rFonts w:cstheme="minorHAnsi"/>
          <w:b/>
          <w:bCs/>
          <w:sz w:val="20"/>
          <w:szCs w:val="20"/>
        </w:rPr>
      </w:pPr>
    </w:p>
    <w:p w14:paraId="301FAD2E" w14:textId="34A8C47C" w:rsidR="00A61D87" w:rsidRPr="00D11E4D" w:rsidRDefault="00A61D87" w:rsidP="001A793B">
      <w:pPr>
        <w:pStyle w:val="Paragraphedeliste"/>
        <w:numPr>
          <w:ilvl w:val="0"/>
          <w:numId w:val="10"/>
        </w:numPr>
        <w:spacing w:after="0" w:line="276" w:lineRule="auto"/>
        <w:rPr>
          <w:rFonts w:cstheme="minorHAnsi"/>
          <w:b/>
          <w:bCs/>
          <w:sz w:val="24"/>
          <w:szCs w:val="24"/>
        </w:rPr>
      </w:pPr>
      <w:r w:rsidRPr="00D11E4D">
        <w:rPr>
          <w:rFonts w:cstheme="minorHAnsi"/>
          <w:b/>
          <w:bCs/>
          <w:sz w:val="24"/>
          <w:szCs w:val="24"/>
        </w:rPr>
        <w:t xml:space="preserve">Pourquoi </w:t>
      </w:r>
      <w:r w:rsidR="003442C1" w:rsidRPr="00D11E4D">
        <w:rPr>
          <w:rFonts w:cstheme="minorHAnsi"/>
          <w:b/>
          <w:bCs/>
          <w:sz w:val="24"/>
          <w:szCs w:val="24"/>
        </w:rPr>
        <w:t>un</w:t>
      </w:r>
      <w:r w:rsidR="00013EF3" w:rsidRPr="00D11E4D">
        <w:rPr>
          <w:rFonts w:cstheme="minorHAnsi"/>
          <w:b/>
          <w:bCs/>
          <w:sz w:val="24"/>
          <w:szCs w:val="24"/>
        </w:rPr>
        <w:t xml:space="preserve"> « plan pour la reprise et la résilience » ? </w:t>
      </w:r>
    </w:p>
    <w:p w14:paraId="6036519F" w14:textId="77777777" w:rsidR="001A793B" w:rsidRDefault="001A793B" w:rsidP="001A793B">
      <w:pPr>
        <w:spacing w:after="0" w:line="276" w:lineRule="auto"/>
        <w:jc w:val="both"/>
        <w:rPr>
          <w:rFonts w:cstheme="minorHAnsi"/>
          <w:sz w:val="20"/>
          <w:szCs w:val="20"/>
        </w:rPr>
      </w:pPr>
    </w:p>
    <w:p w14:paraId="455888B0" w14:textId="22B435EC" w:rsidR="00815641" w:rsidRPr="001A793B" w:rsidRDefault="00734D95" w:rsidP="001A793B">
      <w:pPr>
        <w:spacing w:after="0" w:line="276" w:lineRule="auto"/>
        <w:jc w:val="both"/>
        <w:rPr>
          <w:rFonts w:cstheme="minorHAnsi"/>
          <w:sz w:val="20"/>
          <w:szCs w:val="20"/>
        </w:rPr>
      </w:pPr>
      <w:r w:rsidRPr="001A793B">
        <w:rPr>
          <w:rFonts w:cstheme="minorHAnsi"/>
          <w:sz w:val="20"/>
          <w:szCs w:val="20"/>
        </w:rPr>
        <w:t>Pour faire en sorte que la reprise soit durable, homogène, inclusive et équitable pour tous les États membres</w:t>
      </w:r>
      <w:r w:rsidR="00FD3C9E" w:rsidRPr="001A793B">
        <w:rPr>
          <w:rFonts w:cstheme="minorHAnsi"/>
          <w:sz w:val="20"/>
          <w:szCs w:val="20"/>
        </w:rPr>
        <w:t xml:space="preserve"> de l’U</w:t>
      </w:r>
      <w:r w:rsidR="00BF04E0" w:rsidRPr="001A793B">
        <w:rPr>
          <w:rFonts w:cstheme="minorHAnsi"/>
          <w:sz w:val="20"/>
          <w:szCs w:val="20"/>
        </w:rPr>
        <w:t>E</w:t>
      </w:r>
      <w:r w:rsidRPr="001A793B">
        <w:rPr>
          <w:rFonts w:cstheme="minorHAnsi"/>
          <w:sz w:val="20"/>
          <w:szCs w:val="20"/>
        </w:rPr>
        <w:t xml:space="preserve">, la Commission européenne a </w:t>
      </w:r>
      <w:r w:rsidR="000C226A" w:rsidRPr="001A793B">
        <w:rPr>
          <w:rFonts w:cstheme="minorHAnsi"/>
          <w:sz w:val="20"/>
          <w:szCs w:val="20"/>
        </w:rPr>
        <w:t xml:space="preserve">proposé </w:t>
      </w:r>
      <w:r w:rsidRPr="001A793B">
        <w:rPr>
          <w:rFonts w:cstheme="minorHAnsi"/>
          <w:sz w:val="20"/>
          <w:szCs w:val="20"/>
        </w:rPr>
        <w:t>un nouvel instrument pour la relance</w:t>
      </w:r>
      <w:r w:rsidR="00733BD5" w:rsidRPr="001A793B">
        <w:rPr>
          <w:rFonts w:cstheme="minorHAnsi"/>
          <w:sz w:val="20"/>
          <w:szCs w:val="20"/>
        </w:rPr>
        <w:t> :</w:t>
      </w:r>
      <w:r w:rsidRPr="001A793B">
        <w:rPr>
          <w:rFonts w:cstheme="minorHAnsi"/>
          <w:sz w:val="20"/>
          <w:szCs w:val="20"/>
        </w:rPr>
        <w:t xml:space="preserve"> Next </w:t>
      </w:r>
      <w:proofErr w:type="spellStart"/>
      <w:r w:rsidRPr="001A793B">
        <w:rPr>
          <w:rFonts w:cstheme="minorHAnsi"/>
          <w:sz w:val="20"/>
          <w:szCs w:val="20"/>
        </w:rPr>
        <w:t>Generation</w:t>
      </w:r>
      <w:proofErr w:type="spellEnd"/>
      <w:r w:rsidRPr="001A793B">
        <w:rPr>
          <w:rFonts w:cstheme="minorHAnsi"/>
          <w:sz w:val="20"/>
          <w:szCs w:val="20"/>
        </w:rPr>
        <w:t xml:space="preserve"> EU</w:t>
      </w:r>
      <w:r w:rsidR="000C226A" w:rsidRPr="001A793B">
        <w:rPr>
          <w:rFonts w:cstheme="minorHAnsi"/>
          <w:sz w:val="20"/>
          <w:szCs w:val="20"/>
        </w:rPr>
        <w:t xml:space="preserve">. </w:t>
      </w:r>
      <w:r w:rsidR="002E3373" w:rsidRPr="001A793B">
        <w:rPr>
          <w:rFonts w:cstheme="minorHAnsi"/>
          <w:sz w:val="20"/>
          <w:szCs w:val="20"/>
        </w:rPr>
        <w:t>Celui-ci</w:t>
      </w:r>
      <w:r w:rsidR="00BF04E0" w:rsidRPr="001A793B">
        <w:rPr>
          <w:rFonts w:cstheme="minorHAnsi"/>
          <w:sz w:val="20"/>
          <w:szCs w:val="20"/>
        </w:rPr>
        <w:t xml:space="preserve"> doit </w:t>
      </w:r>
      <w:r w:rsidR="00C63F8A" w:rsidRPr="001A793B">
        <w:rPr>
          <w:rFonts w:cstheme="minorHAnsi"/>
          <w:sz w:val="20"/>
          <w:szCs w:val="20"/>
        </w:rPr>
        <w:t xml:space="preserve">mobiliser des fonds – en </w:t>
      </w:r>
      <w:r w:rsidR="00BF04E0" w:rsidRPr="001A793B">
        <w:rPr>
          <w:rFonts w:cstheme="minorHAnsi"/>
          <w:sz w:val="20"/>
          <w:szCs w:val="20"/>
        </w:rPr>
        <w:t>permett</w:t>
      </w:r>
      <w:r w:rsidR="00C63F8A" w:rsidRPr="001A793B">
        <w:rPr>
          <w:rFonts w:cstheme="minorHAnsi"/>
          <w:sz w:val="20"/>
          <w:szCs w:val="20"/>
        </w:rPr>
        <w:t>ant</w:t>
      </w:r>
      <w:r w:rsidR="00CD628E" w:rsidRPr="001A793B">
        <w:rPr>
          <w:rFonts w:cstheme="minorHAnsi"/>
          <w:sz w:val="20"/>
          <w:szCs w:val="20"/>
        </w:rPr>
        <w:t xml:space="preserve"> à la Commission d’emprunter 750 </w:t>
      </w:r>
      <w:r w:rsidR="00096CEF">
        <w:rPr>
          <w:rFonts w:cstheme="minorHAnsi"/>
          <w:sz w:val="20"/>
          <w:szCs w:val="20"/>
        </w:rPr>
        <w:t>mds EUR</w:t>
      </w:r>
      <w:r w:rsidR="00CD628E" w:rsidRPr="001A793B">
        <w:rPr>
          <w:rFonts w:cstheme="minorHAnsi"/>
          <w:sz w:val="20"/>
          <w:szCs w:val="20"/>
        </w:rPr>
        <w:t xml:space="preserve"> sur les marchés financiers</w:t>
      </w:r>
      <w:r w:rsidR="00C63F8A" w:rsidRPr="001A793B">
        <w:rPr>
          <w:rFonts w:cstheme="minorHAnsi"/>
          <w:sz w:val="20"/>
          <w:szCs w:val="20"/>
        </w:rPr>
        <w:t xml:space="preserve"> </w:t>
      </w:r>
      <w:r w:rsidR="00622794" w:rsidRPr="001A793B">
        <w:rPr>
          <w:rFonts w:cstheme="minorHAnsi"/>
          <w:sz w:val="20"/>
          <w:szCs w:val="20"/>
        </w:rPr>
        <w:t>–</w:t>
      </w:r>
      <w:r w:rsidR="00C63F8A" w:rsidRPr="001A793B">
        <w:rPr>
          <w:rFonts w:cstheme="minorHAnsi"/>
          <w:sz w:val="20"/>
          <w:szCs w:val="20"/>
        </w:rPr>
        <w:t xml:space="preserve"> </w:t>
      </w:r>
      <w:r w:rsidR="00CD628E" w:rsidRPr="001A793B">
        <w:rPr>
          <w:rFonts w:cstheme="minorHAnsi"/>
          <w:sz w:val="20"/>
          <w:szCs w:val="20"/>
        </w:rPr>
        <w:t>qui</w:t>
      </w:r>
      <w:r w:rsidR="00CB7AD3" w:rsidRPr="001A793B">
        <w:rPr>
          <w:rFonts w:cstheme="minorHAnsi"/>
          <w:sz w:val="20"/>
          <w:szCs w:val="20"/>
        </w:rPr>
        <w:t xml:space="preserve"> serviront</w:t>
      </w:r>
      <w:r w:rsidR="00B40405" w:rsidRPr="001A793B">
        <w:rPr>
          <w:rFonts w:cstheme="minorHAnsi"/>
          <w:sz w:val="20"/>
          <w:szCs w:val="20"/>
        </w:rPr>
        <w:t xml:space="preserve"> à </w:t>
      </w:r>
      <w:r w:rsidR="00FD3C9E" w:rsidRPr="001A793B">
        <w:rPr>
          <w:rFonts w:cstheme="minorHAnsi"/>
          <w:sz w:val="20"/>
          <w:szCs w:val="20"/>
        </w:rPr>
        <w:t xml:space="preserve">financer des programmes nationaux dans les </w:t>
      </w:r>
      <w:r w:rsidR="00841B97" w:rsidRPr="001A793B">
        <w:rPr>
          <w:rFonts w:cstheme="minorHAnsi"/>
          <w:sz w:val="20"/>
          <w:szCs w:val="20"/>
        </w:rPr>
        <w:t>É</w:t>
      </w:r>
      <w:r w:rsidR="00FD3C9E" w:rsidRPr="001A793B">
        <w:rPr>
          <w:rFonts w:cstheme="minorHAnsi"/>
          <w:sz w:val="20"/>
          <w:szCs w:val="20"/>
        </w:rPr>
        <w:t>tats membres.</w:t>
      </w:r>
    </w:p>
    <w:p w14:paraId="775DAF8A" w14:textId="60242709" w:rsidR="00156449" w:rsidRPr="001A793B" w:rsidRDefault="00156449" w:rsidP="001A793B">
      <w:pPr>
        <w:spacing w:after="0" w:line="276" w:lineRule="auto"/>
        <w:jc w:val="both"/>
        <w:rPr>
          <w:rFonts w:cstheme="minorHAnsi"/>
          <w:sz w:val="20"/>
          <w:szCs w:val="20"/>
        </w:rPr>
      </w:pPr>
    </w:p>
    <w:p w14:paraId="7B869599" w14:textId="5138A01F" w:rsidR="00E770E3" w:rsidRPr="001A793B" w:rsidRDefault="00156449" w:rsidP="001A793B">
      <w:pPr>
        <w:pStyle w:val="Paragraphedeliste"/>
        <w:spacing w:after="0" w:line="276" w:lineRule="auto"/>
        <w:ind w:left="0"/>
        <w:jc w:val="both"/>
        <w:rPr>
          <w:rFonts w:cstheme="minorHAnsi"/>
          <w:sz w:val="20"/>
          <w:szCs w:val="20"/>
        </w:rPr>
      </w:pPr>
      <w:r w:rsidRPr="001A793B">
        <w:rPr>
          <w:rFonts w:cstheme="minorHAnsi"/>
          <w:sz w:val="20"/>
          <w:szCs w:val="20"/>
        </w:rPr>
        <w:t xml:space="preserve">La pièce maîtresse de l'instrument de relance « Next </w:t>
      </w:r>
      <w:proofErr w:type="spellStart"/>
      <w:r w:rsidRPr="001A793B">
        <w:rPr>
          <w:rFonts w:cstheme="minorHAnsi"/>
          <w:sz w:val="20"/>
          <w:szCs w:val="20"/>
        </w:rPr>
        <w:t>Generation</w:t>
      </w:r>
      <w:proofErr w:type="spellEnd"/>
      <w:r w:rsidRPr="001A793B">
        <w:rPr>
          <w:rFonts w:cstheme="minorHAnsi"/>
          <w:sz w:val="20"/>
          <w:szCs w:val="20"/>
        </w:rPr>
        <w:t xml:space="preserve"> EU » est la « </w:t>
      </w:r>
      <w:r w:rsidR="000F118C">
        <w:rPr>
          <w:rFonts w:cstheme="minorHAnsi"/>
          <w:sz w:val="20"/>
          <w:szCs w:val="20"/>
        </w:rPr>
        <w:t>f</w:t>
      </w:r>
      <w:r w:rsidR="002C0D6C">
        <w:rPr>
          <w:rFonts w:cstheme="minorHAnsi"/>
          <w:sz w:val="20"/>
          <w:szCs w:val="20"/>
        </w:rPr>
        <w:t>acilité pour la reprise et la résilience</w:t>
      </w:r>
      <w:r w:rsidRPr="001A793B">
        <w:rPr>
          <w:rFonts w:cstheme="minorHAnsi"/>
          <w:sz w:val="20"/>
          <w:szCs w:val="20"/>
        </w:rPr>
        <w:t> »</w:t>
      </w:r>
      <w:r w:rsidR="00681C78">
        <w:rPr>
          <w:rFonts w:cstheme="minorHAnsi"/>
          <w:sz w:val="20"/>
          <w:szCs w:val="20"/>
        </w:rPr>
        <w:t xml:space="preserve"> (FRR)</w:t>
      </w:r>
      <w:r w:rsidRPr="001A793B">
        <w:rPr>
          <w:rFonts w:cstheme="minorHAnsi"/>
          <w:sz w:val="20"/>
          <w:szCs w:val="20"/>
        </w:rPr>
        <w:t>, qui est destinée à faire face à la crise de la COVID-19 et aux défis que posent les transitions écologique et numérique</w:t>
      </w:r>
      <w:r w:rsidR="00771BE5" w:rsidRPr="001A793B">
        <w:rPr>
          <w:rFonts w:cstheme="minorHAnsi"/>
          <w:sz w:val="20"/>
          <w:szCs w:val="20"/>
        </w:rPr>
        <w:t xml:space="preserve">. </w:t>
      </w:r>
      <w:r w:rsidR="006429BA" w:rsidRPr="001A793B">
        <w:rPr>
          <w:rFonts w:cstheme="minorHAnsi"/>
          <w:sz w:val="20"/>
          <w:szCs w:val="20"/>
        </w:rPr>
        <w:t xml:space="preserve">Cette facilité </w:t>
      </w:r>
      <w:r w:rsidRPr="001A793B">
        <w:rPr>
          <w:rFonts w:cstheme="minorHAnsi"/>
          <w:sz w:val="20"/>
          <w:szCs w:val="20"/>
        </w:rPr>
        <w:t xml:space="preserve">proposera aux États membres 312,5 </w:t>
      </w:r>
      <w:r w:rsidR="00096CEF">
        <w:rPr>
          <w:rFonts w:cstheme="minorHAnsi"/>
          <w:sz w:val="20"/>
          <w:szCs w:val="20"/>
        </w:rPr>
        <w:t>mds EUR</w:t>
      </w:r>
      <w:r w:rsidR="006429BA" w:rsidRPr="001A793B">
        <w:rPr>
          <w:rStyle w:val="Appelnotedebasdep"/>
          <w:rFonts w:cstheme="minorHAnsi"/>
          <w:sz w:val="20"/>
          <w:szCs w:val="20"/>
        </w:rPr>
        <w:footnoteReference w:id="3"/>
      </w:r>
      <w:r w:rsidRPr="001A793B">
        <w:rPr>
          <w:rFonts w:cstheme="minorHAnsi"/>
          <w:sz w:val="20"/>
          <w:szCs w:val="20"/>
        </w:rPr>
        <w:t xml:space="preserve"> sous forme de subventions, dont 70 % seront engagés en 2021 et 2022 et 30 % d'ici à la fin de 2023.</w:t>
      </w:r>
      <w:r w:rsidR="00816F70" w:rsidRPr="001A793B">
        <w:rPr>
          <w:rFonts w:cstheme="minorHAnsi"/>
          <w:sz w:val="20"/>
          <w:szCs w:val="20"/>
        </w:rPr>
        <w:t xml:space="preserve"> Elle proposera également 360 </w:t>
      </w:r>
      <w:r w:rsidR="00096CEF">
        <w:rPr>
          <w:rFonts w:cstheme="minorHAnsi"/>
          <w:sz w:val="20"/>
          <w:szCs w:val="20"/>
        </w:rPr>
        <w:t>mds EUR</w:t>
      </w:r>
      <w:r w:rsidR="00CD628E" w:rsidRPr="001A793B">
        <w:rPr>
          <w:rFonts w:cstheme="minorHAnsi"/>
          <w:sz w:val="20"/>
          <w:szCs w:val="20"/>
        </w:rPr>
        <w:t xml:space="preserve"> sous forme de prêts. </w:t>
      </w:r>
    </w:p>
    <w:p w14:paraId="1141272D" w14:textId="77777777" w:rsidR="00815641" w:rsidRPr="001A793B" w:rsidRDefault="00815641" w:rsidP="001A793B">
      <w:pPr>
        <w:spacing w:after="0" w:line="276" w:lineRule="auto"/>
        <w:jc w:val="both"/>
        <w:rPr>
          <w:rFonts w:cstheme="minorHAnsi"/>
          <w:sz w:val="20"/>
          <w:szCs w:val="20"/>
        </w:rPr>
      </w:pPr>
    </w:p>
    <w:p w14:paraId="12AB255E" w14:textId="394D68AB" w:rsidR="000B3EE1" w:rsidRPr="001A793B" w:rsidRDefault="00020240" w:rsidP="001A793B">
      <w:pPr>
        <w:spacing w:after="0" w:line="276" w:lineRule="auto"/>
        <w:jc w:val="both"/>
        <w:rPr>
          <w:rFonts w:cstheme="minorHAnsi"/>
          <w:sz w:val="20"/>
          <w:szCs w:val="20"/>
        </w:rPr>
      </w:pPr>
      <w:r w:rsidRPr="001A793B">
        <w:rPr>
          <w:rFonts w:cstheme="minorHAnsi"/>
          <w:sz w:val="20"/>
          <w:szCs w:val="20"/>
        </w:rPr>
        <w:t xml:space="preserve">Afin de bénéficier d'un soutien </w:t>
      </w:r>
      <w:r w:rsidR="00F9515E" w:rsidRPr="001A793B">
        <w:rPr>
          <w:rFonts w:cstheme="minorHAnsi"/>
          <w:sz w:val="20"/>
          <w:szCs w:val="20"/>
        </w:rPr>
        <w:t>financier</w:t>
      </w:r>
      <w:r w:rsidRPr="001A793B">
        <w:rPr>
          <w:rFonts w:cstheme="minorHAnsi"/>
          <w:sz w:val="20"/>
          <w:szCs w:val="20"/>
        </w:rPr>
        <w:t xml:space="preserve">, les États membres doivent élaborer un </w:t>
      </w:r>
      <w:r w:rsidR="00E43CB0">
        <w:rPr>
          <w:rFonts w:cstheme="minorHAnsi"/>
          <w:sz w:val="20"/>
          <w:szCs w:val="20"/>
        </w:rPr>
        <w:t>« </w:t>
      </w:r>
      <w:r w:rsidRPr="001A793B">
        <w:rPr>
          <w:rFonts w:cstheme="minorHAnsi"/>
          <w:sz w:val="20"/>
          <w:szCs w:val="20"/>
        </w:rPr>
        <w:t>plan national pour la reprise et la résilience</w:t>
      </w:r>
      <w:r w:rsidR="00E43CB0">
        <w:rPr>
          <w:rFonts w:cstheme="minorHAnsi"/>
          <w:sz w:val="20"/>
          <w:szCs w:val="20"/>
        </w:rPr>
        <w:t> »</w:t>
      </w:r>
      <w:r w:rsidR="000B3EE1" w:rsidRPr="001A793B">
        <w:rPr>
          <w:rFonts w:cstheme="minorHAnsi"/>
          <w:sz w:val="20"/>
          <w:szCs w:val="20"/>
        </w:rPr>
        <w:t xml:space="preserve">. </w:t>
      </w:r>
    </w:p>
    <w:p w14:paraId="0EDC35F8" w14:textId="0A418597" w:rsidR="000B3EE1" w:rsidRPr="001A793B" w:rsidRDefault="000B3EE1" w:rsidP="001A793B">
      <w:pPr>
        <w:spacing w:after="0" w:line="276" w:lineRule="auto"/>
        <w:jc w:val="both"/>
        <w:rPr>
          <w:rFonts w:cstheme="minorHAnsi"/>
          <w:sz w:val="20"/>
          <w:szCs w:val="20"/>
        </w:rPr>
      </w:pPr>
    </w:p>
    <w:p w14:paraId="067C9980" w14:textId="3B8F705E" w:rsidR="00C92497" w:rsidRPr="00D11E4D" w:rsidRDefault="00C92497" w:rsidP="001A793B">
      <w:pPr>
        <w:pStyle w:val="Paragraphedeliste"/>
        <w:numPr>
          <w:ilvl w:val="0"/>
          <w:numId w:val="10"/>
        </w:numPr>
        <w:spacing w:after="0" w:line="276" w:lineRule="auto"/>
        <w:rPr>
          <w:rFonts w:cstheme="minorHAnsi"/>
          <w:b/>
          <w:bCs/>
          <w:sz w:val="24"/>
          <w:szCs w:val="24"/>
        </w:rPr>
      </w:pPr>
      <w:r w:rsidRPr="00D11E4D">
        <w:rPr>
          <w:rFonts w:cstheme="minorHAnsi"/>
          <w:b/>
          <w:bCs/>
          <w:sz w:val="24"/>
          <w:szCs w:val="24"/>
        </w:rPr>
        <w:t xml:space="preserve">Que doit contenir ce plan ? </w:t>
      </w:r>
    </w:p>
    <w:p w14:paraId="0EAEB7B1" w14:textId="5FC9BFDD" w:rsidR="00C92497" w:rsidRPr="001A793B" w:rsidRDefault="00C92497" w:rsidP="001A793B">
      <w:pPr>
        <w:spacing w:after="0" w:line="276" w:lineRule="auto"/>
        <w:jc w:val="both"/>
        <w:rPr>
          <w:rFonts w:cstheme="minorHAnsi"/>
          <w:sz w:val="20"/>
          <w:szCs w:val="20"/>
        </w:rPr>
      </w:pPr>
    </w:p>
    <w:p w14:paraId="19CE6155" w14:textId="73FF4C70" w:rsidR="00502BAC" w:rsidRPr="001A793B" w:rsidRDefault="00C92497" w:rsidP="001A793B">
      <w:pPr>
        <w:spacing w:after="0" w:line="276" w:lineRule="auto"/>
        <w:jc w:val="both"/>
        <w:rPr>
          <w:rFonts w:cstheme="minorHAnsi"/>
          <w:sz w:val="20"/>
          <w:szCs w:val="20"/>
        </w:rPr>
      </w:pPr>
      <w:r w:rsidRPr="001A793B">
        <w:rPr>
          <w:rFonts w:cstheme="minorHAnsi"/>
          <w:sz w:val="20"/>
          <w:szCs w:val="20"/>
        </w:rPr>
        <w:t xml:space="preserve">Le plan pour la reprise et la résilience </w:t>
      </w:r>
      <w:r w:rsidR="00604624" w:rsidRPr="001A793B">
        <w:rPr>
          <w:rFonts w:cstheme="minorHAnsi"/>
          <w:sz w:val="20"/>
          <w:szCs w:val="20"/>
        </w:rPr>
        <w:t>doit contenir le programme de réforme</w:t>
      </w:r>
      <w:r w:rsidR="00B44C69" w:rsidRPr="001A793B">
        <w:rPr>
          <w:rFonts w:cstheme="minorHAnsi"/>
          <w:sz w:val="20"/>
          <w:szCs w:val="20"/>
        </w:rPr>
        <w:t>s</w:t>
      </w:r>
      <w:r w:rsidR="00604624" w:rsidRPr="001A793B">
        <w:rPr>
          <w:rFonts w:cstheme="minorHAnsi"/>
          <w:sz w:val="20"/>
          <w:szCs w:val="20"/>
        </w:rPr>
        <w:t xml:space="preserve"> et d'investissement</w:t>
      </w:r>
      <w:r w:rsidR="00B44C69" w:rsidRPr="001A793B">
        <w:rPr>
          <w:rFonts w:cstheme="minorHAnsi"/>
          <w:sz w:val="20"/>
          <w:szCs w:val="20"/>
        </w:rPr>
        <w:t>s</w:t>
      </w:r>
      <w:r w:rsidR="00604624" w:rsidRPr="001A793B">
        <w:rPr>
          <w:rFonts w:cstheme="minorHAnsi"/>
          <w:sz w:val="20"/>
          <w:szCs w:val="20"/>
        </w:rPr>
        <w:t xml:space="preserve"> de chaque État-membre jusqu'en 2026.</w:t>
      </w:r>
      <w:r w:rsidR="006C4717" w:rsidRPr="001A793B">
        <w:rPr>
          <w:rFonts w:cstheme="minorHAnsi"/>
          <w:sz w:val="20"/>
          <w:szCs w:val="20"/>
        </w:rPr>
        <w:t xml:space="preserve"> </w:t>
      </w:r>
      <w:r w:rsidR="004D1575">
        <w:rPr>
          <w:rFonts w:cstheme="minorHAnsi"/>
          <w:sz w:val="20"/>
          <w:szCs w:val="20"/>
        </w:rPr>
        <w:t>Ces r</w:t>
      </w:r>
      <w:r w:rsidR="006C4717" w:rsidRPr="001A793B">
        <w:rPr>
          <w:rFonts w:cstheme="minorHAnsi"/>
          <w:sz w:val="20"/>
          <w:szCs w:val="20"/>
        </w:rPr>
        <w:t>éformes et investissements</w:t>
      </w:r>
      <w:r w:rsidRPr="001A793B">
        <w:rPr>
          <w:rFonts w:cstheme="minorHAnsi"/>
          <w:sz w:val="20"/>
          <w:szCs w:val="20"/>
        </w:rPr>
        <w:t xml:space="preserve"> doivent être cohérents et répondre de manière adéquate aux défis qui se posent dans chaque État membre et aux objectifs </w:t>
      </w:r>
      <w:r w:rsidR="00B44C69" w:rsidRPr="001A793B">
        <w:rPr>
          <w:rFonts w:cstheme="minorHAnsi"/>
          <w:sz w:val="20"/>
          <w:szCs w:val="20"/>
        </w:rPr>
        <w:t xml:space="preserve">généraux du plan de reprise et de résilience européen (cf. ci-dessous). </w:t>
      </w:r>
    </w:p>
    <w:p w14:paraId="6770DB1F" w14:textId="77777777" w:rsidR="00B44C69" w:rsidRPr="001A793B" w:rsidRDefault="00B44C69" w:rsidP="001A793B">
      <w:pPr>
        <w:spacing w:after="0" w:line="276" w:lineRule="auto"/>
        <w:jc w:val="both"/>
        <w:rPr>
          <w:rFonts w:cstheme="minorHAnsi"/>
          <w:sz w:val="20"/>
          <w:szCs w:val="20"/>
        </w:rPr>
      </w:pPr>
    </w:p>
    <w:p w14:paraId="1D78B3B0" w14:textId="1F47F720" w:rsidR="00502BAC" w:rsidRPr="00D11E4D" w:rsidRDefault="00502BAC" w:rsidP="001A793B">
      <w:pPr>
        <w:pStyle w:val="Paragraphedeliste"/>
        <w:numPr>
          <w:ilvl w:val="0"/>
          <w:numId w:val="10"/>
        </w:numPr>
        <w:spacing w:after="0" w:line="276" w:lineRule="auto"/>
        <w:rPr>
          <w:rFonts w:cstheme="minorHAnsi"/>
          <w:b/>
          <w:bCs/>
          <w:sz w:val="24"/>
          <w:szCs w:val="24"/>
        </w:rPr>
      </w:pPr>
      <w:r w:rsidRPr="00D11E4D">
        <w:rPr>
          <w:rFonts w:cstheme="minorHAnsi"/>
          <w:b/>
          <w:bCs/>
          <w:sz w:val="24"/>
          <w:szCs w:val="24"/>
        </w:rPr>
        <w:t xml:space="preserve">Quels sont les objectifs </w:t>
      </w:r>
      <w:r w:rsidR="00D11E4D">
        <w:rPr>
          <w:rFonts w:cstheme="minorHAnsi"/>
          <w:b/>
          <w:bCs/>
          <w:sz w:val="24"/>
          <w:szCs w:val="24"/>
        </w:rPr>
        <w:t>poursuivis par ce plan</w:t>
      </w:r>
      <w:r w:rsidRPr="00D11E4D">
        <w:rPr>
          <w:rFonts w:cstheme="minorHAnsi"/>
          <w:b/>
          <w:bCs/>
          <w:sz w:val="24"/>
          <w:szCs w:val="24"/>
        </w:rPr>
        <w:t xml:space="preserve"> ? </w:t>
      </w:r>
    </w:p>
    <w:p w14:paraId="3A9232CE" w14:textId="77777777" w:rsidR="00502BAC" w:rsidRPr="001A793B" w:rsidRDefault="00502BAC" w:rsidP="001A793B">
      <w:pPr>
        <w:pStyle w:val="Paragraphedeliste"/>
        <w:spacing w:after="0" w:line="276" w:lineRule="auto"/>
        <w:rPr>
          <w:rFonts w:cstheme="minorHAnsi"/>
          <w:sz w:val="20"/>
          <w:szCs w:val="20"/>
        </w:rPr>
      </w:pPr>
    </w:p>
    <w:p w14:paraId="15B3CC16" w14:textId="1F347F22" w:rsidR="00502BAC" w:rsidRPr="001A793B" w:rsidRDefault="00502BAC" w:rsidP="001A793B">
      <w:pPr>
        <w:pStyle w:val="Paragraphedeliste"/>
        <w:spacing w:after="0" w:line="276" w:lineRule="auto"/>
        <w:ind w:left="0"/>
        <w:jc w:val="both"/>
        <w:rPr>
          <w:rFonts w:cstheme="minorHAnsi"/>
          <w:sz w:val="20"/>
          <w:szCs w:val="20"/>
        </w:rPr>
      </w:pPr>
      <w:r w:rsidRPr="001A793B">
        <w:rPr>
          <w:rFonts w:cstheme="minorHAnsi"/>
          <w:sz w:val="20"/>
          <w:szCs w:val="20"/>
        </w:rPr>
        <w:t xml:space="preserve">La </w:t>
      </w:r>
      <w:r w:rsidR="005E3049">
        <w:rPr>
          <w:rFonts w:cstheme="minorHAnsi"/>
          <w:sz w:val="20"/>
          <w:szCs w:val="20"/>
        </w:rPr>
        <w:t>C</w:t>
      </w:r>
      <w:r w:rsidRPr="001A793B">
        <w:rPr>
          <w:rFonts w:cstheme="minorHAnsi"/>
          <w:sz w:val="20"/>
          <w:szCs w:val="20"/>
        </w:rPr>
        <w:t xml:space="preserve">ommission européenne a défini quatre objectifs généraux pour la </w:t>
      </w:r>
      <w:r w:rsidR="00FA2F4F">
        <w:rPr>
          <w:rFonts w:cstheme="minorHAnsi"/>
          <w:sz w:val="20"/>
          <w:szCs w:val="20"/>
        </w:rPr>
        <w:t>f</w:t>
      </w:r>
      <w:r w:rsidR="002C0D6C">
        <w:rPr>
          <w:rFonts w:cstheme="minorHAnsi"/>
          <w:sz w:val="20"/>
          <w:szCs w:val="20"/>
        </w:rPr>
        <w:t>acilité pour la reprise et la résilience</w:t>
      </w:r>
      <w:r w:rsidRPr="001A793B">
        <w:rPr>
          <w:rFonts w:cstheme="minorHAnsi"/>
          <w:sz w:val="20"/>
          <w:szCs w:val="20"/>
        </w:rPr>
        <w:t xml:space="preserve"> : </w:t>
      </w:r>
    </w:p>
    <w:p w14:paraId="2DA92F7A" w14:textId="77777777" w:rsidR="00502BAC" w:rsidRPr="001A793B" w:rsidRDefault="00502BAC" w:rsidP="001A793B">
      <w:pPr>
        <w:pStyle w:val="Paragraphedeliste"/>
        <w:spacing w:after="0" w:line="276" w:lineRule="auto"/>
        <w:rPr>
          <w:rFonts w:cstheme="minorHAnsi"/>
          <w:sz w:val="20"/>
          <w:szCs w:val="20"/>
        </w:rPr>
      </w:pPr>
    </w:p>
    <w:p w14:paraId="4E8F19BC" w14:textId="062C7A6D" w:rsidR="00502BAC" w:rsidRPr="001A793B" w:rsidRDefault="00502BAC" w:rsidP="001A793B">
      <w:pPr>
        <w:pStyle w:val="Paragraphedeliste"/>
        <w:numPr>
          <w:ilvl w:val="0"/>
          <w:numId w:val="12"/>
        </w:numPr>
        <w:spacing w:after="0" w:line="276" w:lineRule="auto"/>
        <w:jc w:val="both"/>
        <w:rPr>
          <w:rFonts w:cstheme="minorHAnsi"/>
          <w:sz w:val="20"/>
          <w:szCs w:val="20"/>
        </w:rPr>
      </w:pPr>
      <w:r w:rsidRPr="001A793B">
        <w:rPr>
          <w:rFonts w:cstheme="minorHAnsi"/>
          <w:sz w:val="20"/>
          <w:szCs w:val="20"/>
        </w:rPr>
        <w:t>Promouvoir la cohésion économique, sociale et territoriale de l'Union</w:t>
      </w:r>
      <w:r w:rsidR="004D1575">
        <w:rPr>
          <w:rFonts w:cstheme="minorHAnsi"/>
          <w:sz w:val="20"/>
          <w:szCs w:val="20"/>
        </w:rPr>
        <w:t> ;</w:t>
      </w:r>
    </w:p>
    <w:p w14:paraId="62DB26E6" w14:textId="0F986E18" w:rsidR="00502BAC" w:rsidRPr="001A793B" w:rsidRDefault="0081646E" w:rsidP="001A793B">
      <w:pPr>
        <w:pStyle w:val="Paragraphedeliste"/>
        <w:numPr>
          <w:ilvl w:val="0"/>
          <w:numId w:val="12"/>
        </w:numPr>
        <w:spacing w:after="0" w:line="276" w:lineRule="auto"/>
        <w:jc w:val="both"/>
        <w:rPr>
          <w:rFonts w:cstheme="minorHAnsi"/>
          <w:sz w:val="20"/>
          <w:szCs w:val="20"/>
        </w:rPr>
      </w:pPr>
      <w:r>
        <w:rPr>
          <w:rFonts w:cstheme="minorHAnsi"/>
          <w:sz w:val="20"/>
          <w:szCs w:val="20"/>
        </w:rPr>
        <w:t>Renforcer</w:t>
      </w:r>
      <w:r w:rsidR="00502BAC" w:rsidRPr="001A793B">
        <w:rPr>
          <w:rFonts w:cstheme="minorHAnsi"/>
          <w:sz w:val="20"/>
          <w:szCs w:val="20"/>
        </w:rPr>
        <w:t xml:space="preserve"> la résilience économique et sociale</w:t>
      </w:r>
      <w:r w:rsidR="004D1575">
        <w:rPr>
          <w:rFonts w:cstheme="minorHAnsi"/>
          <w:sz w:val="20"/>
          <w:szCs w:val="20"/>
        </w:rPr>
        <w:t> ;</w:t>
      </w:r>
    </w:p>
    <w:p w14:paraId="0C702B16" w14:textId="536F221F" w:rsidR="00502BAC" w:rsidRPr="001A793B" w:rsidRDefault="0081646E" w:rsidP="001A793B">
      <w:pPr>
        <w:pStyle w:val="Paragraphedeliste"/>
        <w:numPr>
          <w:ilvl w:val="0"/>
          <w:numId w:val="12"/>
        </w:numPr>
        <w:spacing w:after="0" w:line="276" w:lineRule="auto"/>
        <w:jc w:val="both"/>
        <w:rPr>
          <w:rFonts w:cstheme="minorHAnsi"/>
          <w:sz w:val="20"/>
          <w:szCs w:val="20"/>
        </w:rPr>
      </w:pPr>
      <w:r>
        <w:rPr>
          <w:rFonts w:cstheme="minorHAnsi"/>
          <w:sz w:val="20"/>
          <w:szCs w:val="20"/>
        </w:rPr>
        <w:t>Atténuer</w:t>
      </w:r>
      <w:r w:rsidR="00502BAC" w:rsidRPr="001A793B">
        <w:rPr>
          <w:rFonts w:cstheme="minorHAnsi"/>
          <w:sz w:val="20"/>
          <w:szCs w:val="20"/>
        </w:rPr>
        <w:t xml:space="preserve"> l'impact social et économique de la crise</w:t>
      </w:r>
      <w:r w:rsidR="004D1575">
        <w:rPr>
          <w:rFonts w:cstheme="minorHAnsi"/>
          <w:sz w:val="20"/>
          <w:szCs w:val="20"/>
        </w:rPr>
        <w:t> ; et</w:t>
      </w:r>
    </w:p>
    <w:p w14:paraId="4631A330" w14:textId="25BFC92D" w:rsidR="00502BAC" w:rsidRPr="001A793B" w:rsidRDefault="0081646E" w:rsidP="001A793B">
      <w:pPr>
        <w:pStyle w:val="Paragraphedeliste"/>
        <w:numPr>
          <w:ilvl w:val="0"/>
          <w:numId w:val="12"/>
        </w:numPr>
        <w:spacing w:after="0" w:line="276" w:lineRule="auto"/>
        <w:jc w:val="both"/>
        <w:rPr>
          <w:rFonts w:cstheme="minorHAnsi"/>
          <w:sz w:val="20"/>
          <w:szCs w:val="20"/>
        </w:rPr>
      </w:pPr>
      <w:r>
        <w:rPr>
          <w:rFonts w:cstheme="minorHAnsi"/>
          <w:sz w:val="20"/>
          <w:szCs w:val="20"/>
        </w:rPr>
        <w:t>Soutenir</w:t>
      </w:r>
      <w:r w:rsidR="00502BAC" w:rsidRPr="001A793B">
        <w:rPr>
          <w:rFonts w:cstheme="minorHAnsi"/>
          <w:sz w:val="20"/>
          <w:szCs w:val="20"/>
        </w:rPr>
        <w:t xml:space="preserve"> les transitions verte et numérique pour rendre les économies plus durables</w:t>
      </w:r>
      <w:r w:rsidR="00D256CB">
        <w:rPr>
          <w:rFonts w:cstheme="minorHAnsi"/>
          <w:sz w:val="20"/>
          <w:szCs w:val="20"/>
        </w:rPr>
        <w:t>.</w:t>
      </w:r>
    </w:p>
    <w:p w14:paraId="794E4B1D" w14:textId="77777777" w:rsidR="00502BAC" w:rsidRPr="001A793B" w:rsidRDefault="00502BAC" w:rsidP="001A793B">
      <w:pPr>
        <w:pStyle w:val="Paragraphedeliste"/>
        <w:spacing w:after="0" w:line="276" w:lineRule="auto"/>
        <w:ind w:left="360"/>
        <w:jc w:val="both"/>
        <w:rPr>
          <w:rFonts w:cstheme="minorHAnsi"/>
          <w:sz w:val="20"/>
          <w:szCs w:val="20"/>
        </w:rPr>
      </w:pPr>
    </w:p>
    <w:p w14:paraId="05022339" w14:textId="3E86CCFC" w:rsidR="003B5880" w:rsidRPr="001A793B" w:rsidRDefault="00502BAC" w:rsidP="007D46C0">
      <w:pPr>
        <w:spacing w:after="0" w:line="276" w:lineRule="auto"/>
        <w:jc w:val="both"/>
        <w:rPr>
          <w:rFonts w:cstheme="minorHAnsi"/>
          <w:sz w:val="20"/>
          <w:szCs w:val="20"/>
        </w:rPr>
      </w:pPr>
      <w:r w:rsidRPr="001A793B">
        <w:rPr>
          <w:rFonts w:cstheme="minorHAnsi"/>
          <w:sz w:val="20"/>
          <w:szCs w:val="20"/>
        </w:rPr>
        <w:t>Les plan</w:t>
      </w:r>
      <w:r w:rsidR="00450B85">
        <w:rPr>
          <w:rFonts w:cstheme="minorHAnsi"/>
          <w:sz w:val="20"/>
          <w:szCs w:val="20"/>
        </w:rPr>
        <w:t>s nationaux</w:t>
      </w:r>
      <w:r w:rsidRPr="001A793B">
        <w:rPr>
          <w:rFonts w:cstheme="minorHAnsi"/>
          <w:sz w:val="20"/>
          <w:szCs w:val="20"/>
        </w:rPr>
        <w:t xml:space="preserve"> établis par les États membres doivent </w:t>
      </w:r>
      <w:r w:rsidR="00F3079E" w:rsidRPr="001A793B">
        <w:rPr>
          <w:rFonts w:cstheme="minorHAnsi"/>
          <w:sz w:val="20"/>
          <w:szCs w:val="20"/>
        </w:rPr>
        <w:t xml:space="preserve">se conformer </w:t>
      </w:r>
      <w:r w:rsidRPr="001A793B">
        <w:rPr>
          <w:rFonts w:cstheme="minorHAnsi"/>
          <w:sz w:val="20"/>
          <w:szCs w:val="20"/>
        </w:rPr>
        <w:t>à ces objectifs</w:t>
      </w:r>
      <w:r w:rsidR="00D256CB">
        <w:rPr>
          <w:rFonts w:cstheme="minorHAnsi"/>
          <w:sz w:val="20"/>
          <w:szCs w:val="20"/>
        </w:rPr>
        <w:t xml:space="preserve"> généraux</w:t>
      </w:r>
      <w:r w:rsidRPr="001A793B">
        <w:rPr>
          <w:rFonts w:cstheme="minorHAnsi"/>
          <w:sz w:val="20"/>
          <w:szCs w:val="20"/>
        </w:rPr>
        <w:t>.</w:t>
      </w:r>
      <w:r w:rsidR="00314F12" w:rsidRPr="001A793B">
        <w:rPr>
          <w:rFonts w:cstheme="minorHAnsi"/>
          <w:sz w:val="20"/>
          <w:szCs w:val="20"/>
        </w:rPr>
        <w:t xml:space="preserve"> Ils </w:t>
      </w:r>
      <w:r w:rsidR="00DD2360" w:rsidRPr="001A793B">
        <w:rPr>
          <w:rFonts w:cstheme="minorHAnsi"/>
          <w:sz w:val="20"/>
          <w:szCs w:val="20"/>
        </w:rPr>
        <w:t xml:space="preserve">doivent </w:t>
      </w:r>
      <w:r w:rsidR="00D256CB">
        <w:rPr>
          <w:rFonts w:cstheme="minorHAnsi"/>
          <w:sz w:val="20"/>
          <w:szCs w:val="20"/>
        </w:rPr>
        <w:t xml:space="preserve">en outre </w:t>
      </w:r>
      <w:r w:rsidR="00314F12" w:rsidRPr="001A793B">
        <w:rPr>
          <w:rFonts w:cstheme="minorHAnsi"/>
          <w:sz w:val="20"/>
          <w:szCs w:val="20"/>
        </w:rPr>
        <w:t>apporter des réponses aux défis et aux priorités recensés dans les recommandations par pays formulées dans le contexte d</w:t>
      </w:r>
      <w:r w:rsidR="007D46C0">
        <w:rPr>
          <w:rFonts w:cstheme="minorHAnsi"/>
          <w:sz w:val="20"/>
          <w:szCs w:val="20"/>
        </w:rPr>
        <w:t>es</w:t>
      </w:r>
      <w:r w:rsidR="00314F12" w:rsidRPr="001A793B">
        <w:rPr>
          <w:rFonts w:cstheme="minorHAnsi"/>
          <w:sz w:val="20"/>
          <w:szCs w:val="20"/>
        </w:rPr>
        <w:t xml:space="preserve"> </w:t>
      </w:r>
      <w:r w:rsidR="00656232">
        <w:rPr>
          <w:rFonts w:cstheme="minorHAnsi"/>
          <w:sz w:val="20"/>
          <w:szCs w:val="20"/>
        </w:rPr>
        <w:t>S</w:t>
      </w:r>
      <w:r w:rsidR="00314F12" w:rsidRPr="001A793B">
        <w:rPr>
          <w:rFonts w:cstheme="minorHAnsi"/>
          <w:sz w:val="20"/>
          <w:szCs w:val="20"/>
        </w:rPr>
        <w:t>emestre</w:t>
      </w:r>
      <w:r w:rsidR="007D46C0">
        <w:rPr>
          <w:rFonts w:cstheme="minorHAnsi"/>
          <w:sz w:val="20"/>
          <w:szCs w:val="20"/>
        </w:rPr>
        <w:t>s</w:t>
      </w:r>
      <w:r w:rsidR="00314F12" w:rsidRPr="001A793B">
        <w:rPr>
          <w:rFonts w:cstheme="minorHAnsi"/>
          <w:sz w:val="20"/>
          <w:szCs w:val="20"/>
        </w:rPr>
        <w:t xml:space="preserve"> européen</w:t>
      </w:r>
      <w:r w:rsidR="007D46C0">
        <w:rPr>
          <w:rFonts w:cstheme="minorHAnsi"/>
          <w:sz w:val="20"/>
          <w:szCs w:val="20"/>
        </w:rPr>
        <w:t>s</w:t>
      </w:r>
      <w:r w:rsidR="00205299" w:rsidRPr="001A793B">
        <w:rPr>
          <w:rFonts w:cstheme="minorHAnsi"/>
          <w:sz w:val="20"/>
          <w:szCs w:val="20"/>
        </w:rPr>
        <w:t xml:space="preserve"> </w:t>
      </w:r>
      <w:r w:rsidR="007D46C0">
        <w:rPr>
          <w:rFonts w:cstheme="minorHAnsi"/>
          <w:sz w:val="20"/>
          <w:szCs w:val="20"/>
        </w:rPr>
        <w:t>(</w:t>
      </w:r>
      <w:r w:rsidR="00205299" w:rsidRPr="001A793B">
        <w:rPr>
          <w:rFonts w:cstheme="minorHAnsi"/>
          <w:sz w:val="20"/>
          <w:szCs w:val="20"/>
        </w:rPr>
        <w:t>2019 et 2020</w:t>
      </w:r>
      <w:r w:rsidR="007D46C0">
        <w:rPr>
          <w:rFonts w:cstheme="minorHAnsi"/>
          <w:sz w:val="20"/>
          <w:szCs w:val="20"/>
        </w:rPr>
        <w:t>)</w:t>
      </w:r>
      <w:r w:rsidR="003413B2" w:rsidRPr="001A793B">
        <w:rPr>
          <w:rFonts w:cstheme="minorHAnsi"/>
          <w:sz w:val="20"/>
          <w:szCs w:val="20"/>
        </w:rPr>
        <w:t xml:space="preserve"> </w:t>
      </w:r>
      <w:r w:rsidR="00DD2360" w:rsidRPr="001A793B">
        <w:rPr>
          <w:rFonts w:cstheme="minorHAnsi"/>
          <w:sz w:val="20"/>
          <w:szCs w:val="20"/>
        </w:rPr>
        <w:t xml:space="preserve">et </w:t>
      </w:r>
      <w:r w:rsidR="003413B2" w:rsidRPr="001A793B">
        <w:rPr>
          <w:rFonts w:cstheme="minorHAnsi"/>
          <w:sz w:val="20"/>
          <w:szCs w:val="20"/>
        </w:rPr>
        <w:t xml:space="preserve">satisfaire à </w:t>
      </w:r>
      <w:r w:rsidR="007D46C0">
        <w:rPr>
          <w:rFonts w:cstheme="minorHAnsi"/>
          <w:sz w:val="20"/>
          <w:szCs w:val="20"/>
        </w:rPr>
        <w:t xml:space="preserve">différents </w:t>
      </w:r>
      <w:r w:rsidR="003413B2" w:rsidRPr="001A793B">
        <w:rPr>
          <w:rFonts w:cstheme="minorHAnsi"/>
          <w:sz w:val="20"/>
          <w:szCs w:val="20"/>
        </w:rPr>
        <w:t xml:space="preserve">critères </w:t>
      </w:r>
      <w:r w:rsidR="00B42F47">
        <w:rPr>
          <w:rFonts w:cstheme="minorHAnsi"/>
          <w:sz w:val="20"/>
          <w:szCs w:val="20"/>
        </w:rPr>
        <w:t>plu</w:t>
      </w:r>
      <w:r w:rsidR="003F335D">
        <w:rPr>
          <w:rFonts w:cstheme="minorHAnsi"/>
          <w:sz w:val="20"/>
          <w:szCs w:val="20"/>
        </w:rPr>
        <w:t>s</w:t>
      </w:r>
      <w:r w:rsidR="00B42F47">
        <w:rPr>
          <w:rFonts w:cstheme="minorHAnsi"/>
          <w:sz w:val="20"/>
          <w:szCs w:val="20"/>
        </w:rPr>
        <w:t xml:space="preserve"> spécifiques </w:t>
      </w:r>
      <w:r w:rsidR="003413B2" w:rsidRPr="001A793B">
        <w:rPr>
          <w:rFonts w:cstheme="minorHAnsi"/>
          <w:sz w:val="20"/>
          <w:szCs w:val="20"/>
        </w:rPr>
        <w:t xml:space="preserve">(voir question </w:t>
      </w:r>
      <w:r w:rsidR="00893C4B">
        <w:rPr>
          <w:rFonts w:cstheme="minorHAnsi"/>
          <w:sz w:val="20"/>
          <w:szCs w:val="20"/>
        </w:rPr>
        <w:t>7</w:t>
      </w:r>
      <w:r w:rsidR="003413B2" w:rsidRPr="001A793B">
        <w:rPr>
          <w:rFonts w:cstheme="minorHAnsi"/>
          <w:sz w:val="20"/>
          <w:szCs w:val="20"/>
        </w:rPr>
        <w:t>).</w:t>
      </w:r>
      <w:r w:rsidRPr="001A793B">
        <w:rPr>
          <w:rFonts w:cstheme="minorHAnsi"/>
          <w:sz w:val="20"/>
          <w:szCs w:val="20"/>
        </w:rPr>
        <w:t xml:space="preserve"> </w:t>
      </w:r>
    </w:p>
    <w:p w14:paraId="7CC23BF7" w14:textId="5472B830" w:rsidR="005A1DE3" w:rsidRDefault="005A1DE3" w:rsidP="001A793B">
      <w:pPr>
        <w:spacing w:after="0" w:line="276" w:lineRule="auto"/>
        <w:rPr>
          <w:rFonts w:cstheme="minorHAnsi"/>
          <w:sz w:val="20"/>
          <w:szCs w:val="20"/>
        </w:rPr>
      </w:pPr>
    </w:p>
    <w:p w14:paraId="5010DEB5" w14:textId="323C945B" w:rsidR="003F335D" w:rsidRDefault="003F335D" w:rsidP="001A793B">
      <w:pPr>
        <w:spacing w:after="0" w:line="276" w:lineRule="auto"/>
        <w:rPr>
          <w:rFonts w:cstheme="minorHAnsi"/>
          <w:sz w:val="20"/>
          <w:szCs w:val="20"/>
        </w:rPr>
      </w:pPr>
    </w:p>
    <w:p w14:paraId="59142F4A" w14:textId="7667079D" w:rsidR="003F335D" w:rsidRDefault="003F335D" w:rsidP="001A793B">
      <w:pPr>
        <w:spacing w:after="0" w:line="276" w:lineRule="auto"/>
        <w:rPr>
          <w:rFonts w:cstheme="minorHAnsi"/>
          <w:sz w:val="20"/>
          <w:szCs w:val="20"/>
        </w:rPr>
      </w:pPr>
    </w:p>
    <w:p w14:paraId="699C1B27" w14:textId="24CA9098" w:rsidR="003F335D" w:rsidRDefault="003F335D" w:rsidP="001A793B">
      <w:pPr>
        <w:spacing w:after="0" w:line="276" w:lineRule="auto"/>
        <w:rPr>
          <w:rFonts w:cstheme="minorHAnsi"/>
          <w:sz w:val="20"/>
          <w:szCs w:val="20"/>
        </w:rPr>
      </w:pPr>
    </w:p>
    <w:p w14:paraId="0A19E081" w14:textId="1DC65AB4" w:rsidR="003F335D" w:rsidRDefault="003F335D" w:rsidP="001A793B">
      <w:pPr>
        <w:spacing w:after="0" w:line="276" w:lineRule="auto"/>
        <w:rPr>
          <w:rFonts w:cstheme="minorHAnsi"/>
          <w:sz w:val="20"/>
          <w:szCs w:val="20"/>
        </w:rPr>
      </w:pPr>
    </w:p>
    <w:p w14:paraId="5D927AD0" w14:textId="77777777" w:rsidR="003F335D" w:rsidRPr="001A793B" w:rsidRDefault="003F335D" w:rsidP="001A793B">
      <w:pPr>
        <w:spacing w:after="0" w:line="276" w:lineRule="auto"/>
        <w:rPr>
          <w:rFonts w:cstheme="minorHAnsi"/>
          <w:sz w:val="20"/>
          <w:szCs w:val="20"/>
        </w:rPr>
      </w:pPr>
    </w:p>
    <w:p w14:paraId="00ECB1C9" w14:textId="77777777" w:rsidR="005A1DE3" w:rsidRPr="00C741A8" w:rsidRDefault="005A1DE3" w:rsidP="001A793B">
      <w:pPr>
        <w:pStyle w:val="Paragraphedeliste"/>
        <w:numPr>
          <w:ilvl w:val="0"/>
          <w:numId w:val="10"/>
        </w:numPr>
        <w:spacing w:after="0" w:line="276" w:lineRule="auto"/>
        <w:rPr>
          <w:rFonts w:cstheme="minorHAnsi"/>
          <w:b/>
          <w:bCs/>
          <w:sz w:val="24"/>
          <w:szCs w:val="24"/>
        </w:rPr>
      </w:pPr>
      <w:r w:rsidRPr="00C741A8">
        <w:rPr>
          <w:rFonts w:cstheme="minorHAnsi"/>
          <w:b/>
          <w:bCs/>
          <w:sz w:val="24"/>
          <w:szCs w:val="24"/>
        </w:rPr>
        <w:t xml:space="preserve">Quel est le montant du soutien financier réservé à la Belgique ? </w:t>
      </w:r>
    </w:p>
    <w:p w14:paraId="136D1B4D" w14:textId="77777777" w:rsidR="005A1DE3" w:rsidRPr="001A793B" w:rsidRDefault="005A1DE3" w:rsidP="001A793B">
      <w:pPr>
        <w:pStyle w:val="Paragraphedeliste"/>
        <w:spacing w:after="0" w:line="276" w:lineRule="auto"/>
        <w:ind w:left="360"/>
        <w:jc w:val="both"/>
        <w:rPr>
          <w:rFonts w:cstheme="minorHAnsi"/>
          <w:sz w:val="20"/>
          <w:szCs w:val="20"/>
        </w:rPr>
      </w:pPr>
    </w:p>
    <w:p w14:paraId="5BBD240D" w14:textId="76325457" w:rsidR="005A1DE3" w:rsidRPr="001A793B" w:rsidRDefault="005A1DE3" w:rsidP="001A793B">
      <w:pPr>
        <w:pStyle w:val="Paragraphedeliste"/>
        <w:spacing w:after="0" w:line="276" w:lineRule="auto"/>
        <w:ind w:left="0"/>
        <w:jc w:val="both"/>
        <w:rPr>
          <w:rFonts w:cstheme="minorHAnsi"/>
          <w:sz w:val="20"/>
          <w:szCs w:val="20"/>
        </w:rPr>
      </w:pPr>
      <w:r w:rsidRPr="001A793B">
        <w:rPr>
          <w:rFonts w:cstheme="minorHAnsi"/>
          <w:sz w:val="20"/>
          <w:szCs w:val="20"/>
        </w:rPr>
        <w:t xml:space="preserve">En matière de subventions, la part allouée à la Belgique devrait </w:t>
      </w:r>
      <w:r w:rsidR="00C6651D">
        <w:rPr>
          <w:rFonts w:cstheme="minorHAnsi"/>
          <w:sz w:val="20"/>
          <w:szCs w:val="20"/>
        </w:rPr>
        <w:t xml:space="preserve">atteindre </w:t>
      </w:r>
      <w:r w:rsidRPr="001A793B">
        <w:rPr>
          <w:rFonts w:cstheme="minorHAnsi"/>
          <w:sz w:val="20"/>
          <w:szCs w:val="20"/>
        </w:rPr>
        <w:t>3,4 mds EUR pour 2021-2022 et</w:t>
      </w:r>
      <w:r w:rsidR="00C6651D">
        <w:rPr>
          <w:rFonts w:cstheme="minorHAnsi"/>
          <w:sz w:val="20"/>
          <w:szCs w:val="20"/>
        </w:rPr>
        <w:t xml:space="preserve"> tourner autour de </w:t>
      </w:r>
      <w:r w:rsidRPr="001A793B">
        <w:rPr>
          <w:rFonts w:cstheme="minorHAnsi"/>
          <w:sz w:val="20"/>
          <w:szCs w:val="20"/>
        </w:rPr>
        <w:t>1,746 mds pour 2023</w:t>
      </w:r>
      <w:r w:rsidRPr="001A793B">
        <w:rPr>
          <w:rStyle w:val="Appelnotedebasdep"/>
          <w:rFonts w:cstheme="minorHAnsi"/>
          <w:sz w:val="20"/>
          <w:szCs w:val="20"/>
        </w:rPr>
        <w:footnoteReference w:id="4"/>
      </w:r>
      <w:r w:rsidRPr="001A793B">
        <w:rPr>
          <w:rStyle w:val="Appelnotedebasdep"/>
          <w:rFonts w:cstheme="minorHAnsi"/>
          <w:sz w:val="20"/>
          <w:szCs w:val="20"/>
        </w:rPr>
        <w:footnoteReference w:id="5"/>
      </w:r>
      <w:r w:rsidRPr="001A793B">
        <w:rPr>
          <w:rFonts w:cstheme="minorHAnsi"/>
          <w:sz w:val="20"/>
          <w:szCs w:val="20"/>
        </w:rPr>
        <w:t xml:space="preserve">. </w:t>
      </w:r>
    </w:p>
    <w:p w14:paraId="021CEC38" w14:textId="77777777" w:rsidR="005A1DE3" w:rsidRPr="001A793B" w:rsidRDefault="005A1DE3" w:rsidP="001A793B">
      <w:pPr>
        <w:pStyle w:val="Paragraphedeliste"/>
        <w:spacing w:after="0" w:line="276" w:lineRule="auto"/>
        <w:ind w:left="0"/>
        <w:jc w:val="both"/>
        <w:rPr>
          <w:rFonts w:cstheme="minorHAnsi"/>
          <w:sz w:val="20"/>
          <w:szCs w:val="20"/>
        </w:rPr>
      </w:pPr>
    </w:p>
    <w:p w14:paraId="2A9EC1EA" w14:textId="74CD420E" w:rsidR="005A1DE3" w:rsidRPr="001A793B" w:rsidRDefault="0097711D" w:rsidP="001A793B">
      <w:pPr>
        <w:pStyle w:val="Paragraphedeliste"/>
        <w:spacing w:after="0" w:line="276" w:lineRule="auto"/>
        <w:ind w:left="0"/>
        <w:jc w:val="both"/>
        <w:rPr>
          <w:rFonts w:cstheme="minorHAnsi"/>
          <w:sz w:val="20"/>
          <w:szCs w:val="20"/>
        </w:rPr>
      </w:pPr>
      <w:r>
        <w:rPr>
          <w:rFonts w:cstheme="minorHAnsi"/>
          <w:sz w:val="20"/>
          <w:szCs w:val="20"/>
        </w:rPr>
        <w:t>Il est par ailleurs prévu que c</w:t>
      </w:r>
      <w:r w:rsidR="005A1DE3" w:rsidRPr="001A793B">
        <w:rPr>
          <w:rFonts w:cstheme="minorHAnsi"/>
          <w:sz w:val="20"/>
          <w:szCs w:val="20"/>
        </w:rPr>
        <w:t xml:space="preserve">haque État membre </w:t>
      </w:r>
      <w:r>
        <w:rPr>
          <w:rFonts w:cstheme="minorHAnsi"/>
          <w:sz w:val="20"/>
          <w:szCs w:val="20"/>
        </w:rPr>
        <w:t xml:space="preserve">puisse </w:t>
      </w:r>
      <w:r w:rsidR="005A1DE3" w:rsidRPr="001A793B">
        <w:rPr>
          <w:rFonts w:cstheme="minorHAnsi"/>
          <w:sz w:val="20"/>
          <w:szCs w:val="20"/>
        </w:rPr>
        <w:t>solliciter un prêt à concurrence d’un maximum de 6,8 % de son revenu national brut (RNB)</w:t>
      </w:r>
      <w:r w:rsidR="005A1DE3" w:rsidRPr="001A793B">
        <w:rPr>
          <w:rStyle w:val="Appelnotedebasdep"/>
          <w:rFonts w:cstheme="minorHAnsi"/>
          <w:sz w:val="20"/>
          <w:szCs w:val="20"/>
        </w:rPr>
        <w:footnoteReference w:id="6"/>
      </w:r>
      <w:r w:rsidR="005A1DE3" w:rsidRPr="001A793B">
        <w:rPr>
          <w:rFonts w:cstheme="minorHAnsi"/>
          <w:sz w:val="20"/>
          <w:szCs w:val="20"/>
        </w:rPr>
        <w:t>.</w:t>
      </w:r>
    </w:p>
    <w:p w14:paraId="2781EFE0" w14:textId="77777777" w:rsidR="005A1DE3" w:rsidRPr="001A793B" w:rsidRDefault="005A1DE3" w:rsidP="001A793B">
      <w:pPr>
        <w:spacing w:after="0" w:line="276" w:lineRule="auto"/>
        <w:jc w:val="both"/>
        <w:rPr>
          <w:rFonts w:cstheme="minorHAnsi"/>
          <w:sz w:val="20"/>
          <w:szCs w:val="20"/>
        </w:rPr>
      </w:pPr>
    </w:p>
    <w:p w14:paraId="6B4A592B" w14:textId="0972416B" w:rsidR="00795DD3" w:rsidRPr="00C741A8" w:rsidRDefault="00795DD3" w:rsidP="001A793B">
      <w:pPr>
        <w:pStyle w:val="Paragraphedeliste"/>
        <w:numPr>
          <w:ilvl w:val="0"/>
          <w:numId w:val="10"/>
        </w:numPr>
        <w:spacing w:after="0" w:line="276" w:lineRule="auto"/>
        <w:jc w:val="both"/>
        <w:rPr>
          <w:rFonts w:cstheme="minorHAnsi"/>
          <w:b/>
          <w:bCs/>
          <w:sz w:val="24"/>
          <w:szCs w:val="24"/>
        </w:rPr>
      </w:pPr>
      <w:r w:rsidRPr="00C741A8">
        <w:rPr>
          <w:rFonts w:cstheme="minorHAnsi"/>
          <w:b/>
          <w:bCs/>
          <w:sz w:val="24"/>
          <w:szCs w:val="24"/>
        </w:rPr>
        <w:t>Quand les plans nationaux</w:t>
      </w:r>
      <w:r w:rsidR="00D9184D" w:rsidRPr="00C741A8">
        <w:rPr>
          <w:rFonts w:cstheme="minorHAnsi"/>
          <w:b/>
          <w:bCs/>
          <w:sz w:val="24"/>
          <w:szCs w:val="24"/>
        </w:rPr>
        <w:t xml:space="preserve"> de reprise et de résilience</w:t>
      </w:r>
      <w:r w:rsidRPr="00C741A8">
        <w:rPr>
          <w:rFonts w:cstheme="minorHAnsi"/>
          <w:b/>
          <w:bCs/>
          <w:sz w:val="24"/>
          <w:szCs w:val="24"/>
        </w:rPr>
        <w:t xml:space="preserve"> doivent-il être introduits ?  </w:t>
      </w:r>
    </w:p>
    <w:p w14:paraId="7F446B8D" w14:textId="77777777" w:rsidR="00C23C53" w:rsidRPr="001A793B" w:rsidRDefault="00C23C53" w:rsidP="00C23C53">
      <w:pPr>
        <w:pStyle w:val="Paragraphedeliste"/>
        <w:spacing w:after="0" w:line="276" w:lineRule="auto"/>
        <w:ind w:left="360"/>
        <w:jc w:val="both"/>
        <w:rPr>
          <w:rFonts w:cstheme="minorHAnsi"/>
          <w:b/>
          <w:bCs/>
          <w:sz w:val="20"/>
          <w:szCs w:val="20"/>
        </w:rPr>
      </w:pPr>
    </w:p>
    <w:p w14:paraId="56B8CAF7" w14:textId="74B31C30" w:rsidR="00C60B02" w:rsidRDefault="00795DD3" w:rsidP="001A793B">
      <w:pPr>
        <w:spacing w:after="0" w:line="276" w:lineRule="auto"/>
        <w:jc w:val="both"/>
        <w:rPr>
          <w:rFonts w:cstheme="minorHAnsi"/>
          <w:sz w:val="20"/>
          <w:szCs w:val="20"/>
        </w:rPr>
      </w:pPr>
      <w:r w:rsidRPr="001A793B">
        <w:rPr>
          <w:rFonts w:cstheme="minorHAnsi"/>
          <w:sz w:val="20"/>
          <w:szCs w:val="20"/>
        </w:rPr>
        <w:t xml:space="preserve">Les États membres peuvent officiellement présenter leurs plans pour la reprise et la résilience aux fins de l'évaluation à partir du moment où la facilité est juridiquement en vigueur. La Commission prévoit que la législation entre en vigueur en janvier 2021. La date limite pour la présentation des plans est </w:t>
      </w:r>
      <w:r w:rsidR="00BD52F0">
        <w:rPr>
          <w:rFonts w:cstheme="minorHAnsi"/>
          <w:sz w:val="20"/>
          <w:szCs w:val="20"/>
        </w:rPr>
        <w:t xml:space="preserve">quant à elle </w:t>
      </w:r>
      <w:r w:rsidRPr="001A793B">
        <w:rPr>
          <w:rFonts w:cstheme="minorHAnsi"/>
          <w:sz w:val="20"/>
          <w:szCs w:val="20"/>
        </w:rPr>
        <w:t xml:space="preserve">fixée au 30 avril 2021. </w:t>
      </w:r>
    </w:p>
    <w:p w14:paraId="1C32A221" w14:textId="77777777" w:rsidR="00C60B02" w:rsidRDefault="00C60B02" w:rsidP="001A793B">
      <w:pPr>
        <w:spacing w:after="0" w:line="276" w:lineRule="auto"/>
        <w:jc w:val="both"/>
        <w:rPr>
          <w:rFonts w:cstheme="minorHAnsi"/>
          <w:sz w:val="20"/>
          <w:szCs w:val="20"/>
        </w:rPr>
      </w:pPr>
    </w:p>
    <w:p w14:paraId="1E4BB525" w14:textId="0A4F3861" w:rsidR="00795DD3" w:rsidRPr="001A793B" w:rsidRDefault="00795DD3" w:rsidP="001A793B">
      <w:pPr>
        <w:spacing w:after="0" w:line="276" w:lineRule="auto"/>
        <w:jc w:val="both"/>
        <w:rPr>
          <w:rFonts w:cstheme="minorHAnsi"/>
          <w:sz w:val="20"/>
          <w:szCs w:val="20"/>
        </w:rPr>
      </w:pPr>
      <w:r w:rsidRPr="001A793B">
        <w:rPr>
          <w:rFonts w:cstheme="minorHAnsi"/>
          <w:sz w:val="20"/>
          <w:szCs w:val="20"/>
        </w:rPr>
        <w:t>La Commission encourage néanmoins les États membres à présenter leurs avant-projets de plans à partir du 15 octobre 2020. Les États membres peuvent parachever leurs plans après la présentation initiale des projets à la Commission.</w:t>
      </w:r>
    </w:p>
    <w:p w14:paraId="5A76FEBC" w14:textId="77777777" w:rsidR="00D9184D" w:rsidRPr="001A793B" w:rsidRDefault="00D9184D" w:rsidP="001A793B">
      <w:pPr>
        <w:spacing w:after="0" w:line="276" w:lineRule="auto"/>
        <w:jc w:val="both"/>
        <w:rPr>
          <w:rFonts w:cstheme="minorHAnsi"/>
          <w:sz w:val="20"/>
          <w:szCs w:val="20"/>
        </w:rPr>
      </w:pPr>
    </w:p>
    <w:p w14:paraId="5970FCEB" w14:textId="1CCDEE55" w:rsidR="00795DD3" w:rsidRPr="00BD52F0" w:rsidRDefault="00795DD3" w:rsidP="001A793B">
      <w:pPr>
        <w:pStyle w:val="Paragraphedeliste"/>
        <w:numPr>
          <w:ilvl w:val="0"/>
          <w:numId w:val="10"/>
        </w:numPr>
        <w:spacing w:after="0" w:line="276" w:lineRule="auto"/>
        <w:jc w:val="both"/>
        <w:rPr>
          <w:rFonts w:cstheme="minorHAnsi"/>
          <w:b/>
          <w:bCs/>
          <w:sz w:val="24"/>
          <w:szCs w:val="24"/>
        </w:rPr>
      </w:pPr>
      <w:r w:rsidRPr="00BD52F0">
        <w:rPr>
          <w:rFonts w:cstheme="minorHAnsi"/>
          <w:b/>
          <w:bCs/>
          <w:sz w:val="24"/>
          <w:szCs w:val="24"/>
        </w:rPr>
        <w:t>Quel est le processus d’approbation des plans nationaux </w:t>
      </w:r>
      <w:r w:rsidR="00D9184D" w:rsidRPr="00BD52F0">
        <w:rPr>
          <w:rFonts w:cstheme="minorHAnsi"/>
          <w:b/>
          <w:bCs/>
          <w:sz w:val="24"/>
          <w:szCs w:val="24"/>
        </w:rPr>
        <w:t xml:space="preserve">de reprise et de résilience </w:t>
      </w:r>
      <w:r w:rsidRPr="00BD52F0">
        <w:rPr>
          <w:rFonts w:cstheme="minorHAnsi"/>
          <w:b/>
          <w:bCs/>
          <w:sz w:val="24"/>
          <w:szCs w:val="24"/>
        </w:rPr>
        <w:t xml:space="preserve">? </w:t>
      </w:r>
    </w:p>
    <w:p w14:paraId="5EA3B137" w14:textId="77777777" w:rsidR="00795DD3" w:rsidRPr="001A793B" w:rsidRDefault="00795DD3" w:rsidP="001A793B">
      <w:pPr>
        <w:pStyle w:val="Paragraphedeliste"/>
        <w:spacing w:after="0" w:line="276" w:lineRule="auto"/>
        <w:rPr>
          <w:rFonts w:cstheme="minorHAnsi"/>
          <w:sz w:val="20"/>
          <w:szCs w:val="20"/>
        </w:rPr>
      </w:pPr>
    </w:p>
    <w:p w14:paraId="48D26FC2" w14:textId="3B22EB0B" w:rsidR="00795DD3" w:rsidRPr="001A793B" w:rsidRDefault="00795DD3" w:rsidP="001A793B">
      <w:pPr>
        <w:pStyle w:val="Paragraphedeliste"/>
        <w:spacing w:after="0" w:line="276" w:lineRule="auto"/>
        <w:ind w:left="0"/>
        <w:jc w:val="both"/>
        <w:rPr>
          <w:rFonts w:cstheme="minorHAnsi"/>
          <w:sz w:val="20"/>
          <w:szCs w:val="20"/>
        </w:rPr>
      </w:pPr>
      <w:r w:rsidRPr="001A793B">
        <w:rPr>
          <w:rFonts w:cstheme="minorHAnsi"/>
          <w:sz w:val="20"/>
          <w:szCs w:val="20"/>
        </w:rPr>
        <w:t xml:space="preserve">La Commission devrait évaluer les plans des États membres dans un délai de deux mois. L'État membre concerné et la Commission peuvent </w:t>
      </w:r>
      <w:r w:rsidR="00A42504">
        <w:rPr>
          <w:rFonts w:cstheme="minorHAnsi"/>
          <w:sz w:val="20"/>
          <w:szCs w:val="20"/>
        </w:rPr>
        <w:t xml:space="preserve">toutefois </w:t>
      </w:r>
      <w:r w:rsidRPr="001A793B">
        <w:rPr>
          <w:rFonts w:cstheme="minorHAnsi"/>
          <w:sz w:val="20"/>
          <w:szCs w:val="20"/>
        </w:rPr>
        <w:t>convenir de prolonger raisonnablement ce délai si nécessaire.</w:t>
      </w:r>
    </w:p>
    <w:p w14:paraId="4C164B14" w14:textId="77777777" w:rsidR="00795DD3" w:rsidRPr="001A793B" w:rsidRDefault="00795DD3" w:rsidP="001A793B">
      <w:pPr>
        <w:pStyle w:val="Paragraphedeliste"/>
        <w:spacing w:after="0" w:line="276" w:lineRule="auto"/>
        <w:rPr>
          <w:rFonts w:cstheme="minorHAnsi"/>
          <w:sz w:val="20"/>
          <w:szCs w:val="20"/>
        </w:rPr>
      </w:pPr>
    </w:p>
    <w:p w14:paraId="670BDC89" w14:textId="7D5B1530" w:rsidR="00795DD3" w:rsidRPr="001A793B" w:rsidRDefault="00795DD3" w:rsidP="001A793B">
      <w:pPr>
        <w:pStyle w:val="Paragraphedeliste"/>
        <w:spacing w:after="0" w:line="276" w:lineRule="auto"/>
        <w:ind w:left="0"/>
        <w:jc w:val="both"/>
        <w:rPr>
          <w:rFonts w:cstheme="minorHAnsi"/>
          <w:sz w:val="20"/>
          <w:szCs w:val="20"/>
        </w:rPr>
      </w:pPr>
      <w:r w:rsidRPr="001A793B">
        <w:rPr>
          <w:rFonts w:cstheme="minorHAnsi"/>
          <w:sz w:val="20"/>
          <w:szCs w:val="20"/>
        </w:rPr>
        <w:t>L'évaluation des plans pour la reprise et la résilience doit être approuvée par le Conseil au moyen d'une décision d'exécution, qu'il devrait s'efforcer d'adopter dans un délai de quatre semaines à compter de la proposition de la Commission.</w:t>
      </w:r>
    </w:p>
    <w:p w14:paraId="5776F7A3" w14:textId="77777777" w:rsidR="005A1DE3" w:rsidRPr="001A793B" w:rsidRDefault="005A1DE3" w:rsidP="001A793B">
      <w:pPr>
        <w:pStyle w:val="Paragraphedeliste"/>
        <w:spacing w:after="0" w:line="276" w:lineRule="auto"/>
        <w:ind w:left="0"/>
        <w:jc w:val="both"/>
        <w:rPr>
          <w:rFonts w:cstheme="minorHAnsi"/>
          <w:sz w:val="20"/>
          <w:szCs w:val="20"/>
        </w:rPr>
      </w:pPr>
    </w:p>
    <w:p w14:paraId="0A071863" w14:textId="206B9ADD" w:rsidR="005A1DE3" w:rsidRPr="00986F61" w:rsidRDefault="005A1DE3" w:rsidP="001A793B">
      <w:pPr>
        <w:pStyle w:val="Paragraphedeliste"/>
        <w:numPr>
          <w:ilvl w:val="0"/>
          <w:numId w:val="10"/>
        </w:numPr>
        <w:spacing w:after="0" w:line="276" w:lineRule="auto"/>
        <w:jc w:val="both"/>
        <w:rPr>
          <w:rFonts w:cstheme="minorHAnsi"/>
          <w:b/>
          <w:bCs/>
          <w:sz w:val="24"/>
          <w:szCs w:val="24"/>
        </w:rPr>
      </w:pPr>
      <w:r w:rsidRPr="00986F61">
        <w:rPr>
          <w:rFonts w:cstheme="minorHAnsi"/>
          <w:b/>
          <w:bCs/>
          <w:sz w:val="24"/>
          <w:szCs w:val="24"/>
        </w:rPr>
        <w:t>Quels sont les critères sur la base desquels le</w:t>
      </w:r>
      <w:r w:rsidR="00165591" w:rsidRPr="00986F61">
        <w:rPr>
          <w:rFonts w:cstheme="minorHAnsi"/>
          <w:b/>
          <w:bCs/>
          <w:sz w:val="24"/>
          <w:szCs w:val="24"/>
        </w:rPr>
        <w:t>s</w:t>
      </w:r>
      <w:r w:rsidRPr="00986F61">
        <w:rPr>
          <w:rFonts w:cstheme="minorHAnsi"/>
          <w:b/>
          <w:bCs/>
          <w:sz w:val="24"/>
          <w:szCs w:val="24"/>
        </w:rPr>
        <w:t xml:space="preserve"> plan</w:t>
      </w:r>
      <w:r w:rsidR="00165591" w:rsidRPr="00986F61">
        <w:rPr>
          <w:rFonts w:cstheme="minorHAnsi"/>
          <w:b/>
          <w:bCs/>
          <w:sz w:val="24"/>
          <w:szCs w:val="24"/>
        </w:rPr>
        <w:t>s</w:t>
      </w:r>
      <w:r w:rsidRPr="00986F61">
        <w:rPr>
          <w:rFonts w:cstheme="minorHAnsi"/>
          <w:b/>
          <w:bCs/>
          <w:sz w:val="24"/>
          <w:szCs w:val="24"/>
        </w:rPr>
        <w:t xml:space="preserve"> ser</w:t>
      </w:r>
      <w:r w:rsidR="00165591" w:rsidRPr="00986F61">
        <w:rPr>
          <w:rFonts w:cstheme="minorHAnsi"/>
          <w:b/>
          <w:bCs/>
          <w:sz w:val="24"/>
          <w:szCs w:val="24"/>
        </w:rPr>
        <w:t>ont</w:t>
      </w:r>
      <w:r w:rsidRPr="00986F61">
        <w:rPr>
          <w:rFonts w:cstheme="minorHAnsi"/>
          <w:b/>
          <w:bCs/>
          <w:sz w:val="24"/>
          <w:szCs w:val="24"/>
        </w:rPr>
        <w:t xml:space="preserve"> évalué</w:t>
      </w:r>
      <w:r w:rsidR="00165591" w:rsidRPr="00986F61">
        <w:rPr>
          <w:rFonts w:cstheme="minorHAnsi"/>
          <w:b/>
          <w:bCs/>
          <w:sz w:val="24"/>
          <w:szCs w:val="24"/>
        </w:rPr>
        <w:t>s</w:t>
      </w:r>
      <w:r w:rsidRPr="00986F61">
        <w:rPr>
          <w:rFonts w:cstheme="minorHAnsi"/>
          <w:b/>
          <w:bCs/>
          <w:sz w:val="24"/>
          <w:szCs w:val="24"/>
        </w:rPr>
        <w:t xml:space="preserve"> ? </w:t>
      </w:r>
    </w:p>
    <w:p w14:paraId="4D3F3E38" w14:textId="77777777" w:rsidR="005A1DE3" w:rsidRPr="001A793B" w:rsidRDefault="005A1DE3" w:rsidP="001A793B">
      <w:pPr>
        <w:pStyle w:val="Paragraphedeliste"/>
        <w:spacing w:after="0" w:line="276" w:lineRule="auto"/>
        <w:ind w:left="0"/>
        <w:jc w:val="both"/>
        <w:rPr>
          <w:rFonts w:cstheme="minorHAnsi"/>
          <w:sz w:val="20"/>
          <w:szCs w:val="20"/>
        </w:rPr>
      </w:pPr>
    </w:p>
    <w:p w14:paraId="0E42C349" w14:textId="77777777" w:rsidR="005A1DE3" w:rsidRPr="001A793B" w:rsidRDefault="005A1DE3" w:rsidP="001A793B">
      <w:pPr>
        <w:pStyle w:val="Paragraphedeliste"/>
        <w:spacing w:after="0" w:line="276" w:lineRule="auto"/>
        <w:ind w:left="0"/>
        <w:jc w:val="both"/>
        <w:rPr>
          <w:rFonts w:cstheme="minorHAnsi"/>
          <w:sz w:val="20"/>
          <w:szCs w:val="20"/>
        </w:rPr>
      </w:pPr>
      <w:bookmarkStart w:id="0" w:name="_Hlk55311752"/>
      <w:r w:rsidRPr="001A793B">
        <w:rPr>
          <w:rFonts w:cstheme="minorHAnsi"/>
          <w:sz w:val="20"/>
          <w:szCs w:val="20"/>
        </w:rPr>
        <w:t xml:space="preserve">Les plans devront apporter des réponses aux défis et aux priorités recensés dans les recommandations par pays formulées dans le contexte du Semestre européen </w:t>
      </w:r>
      <w:bookmarkEnd w:id="0"/>
      <w:r w:rsidRPr="001A793B">
        <w:rPr>
          <w:rFonts w:cstheme="minorHAnsi"/>
          <w:sz w:val="20"/>
          <w:szCs w:val="20"/>
        </w:rPr>
        <w:t>(recommandations de 2019</w:t>
      </w:r>
      <w:r w:rsidRPr="001A793B">
        <w:rPr>
          <w:rStyle w:val="Appelnotedebasdep"/>
          <w:rFonts w:cstheme="minorHAnsi"/>
          <w:sz w:val="20"/>
          <w:szCs w:val="20"/>
        </w:rPr>
        <w:footnoteReference w:id="7"/>
      </w:r>
      <w:r w:rsidRPr="001A793B">
        <w:rPr>
          <w:rFonts w:cstheme="minorHAnsi"/>
          <w:sz w:val="20"/>
          <w:szCs w:val="20"/>
        </w:rPr>
        <w:t xml:space="preserve"> et 2020</w:t>
      </w:r>
      <w:r w:rsidRPr="001A793B">
        <w:rPr>
          <w:rStyle w:val="Appelnotedebasdep"/>
          <w:rFonts w:cstheme="minorHAnsi"/>
          <w:sz w:val="20"/>
          <w:szCs w:val="20"/>
        </w:rPr>
        <w:footnoteReference w:id="8"/>
      </w:r>
      <w:r w:rsidRPr="001A793B">
        <w:rPr>
          <w:rFonts w:cstheme="minorHAnsi"/>
          <w:sz w:val="20"/>
          <w:szCs w:val="20"/>
        </w:rPr>
        <w:t xml:space="preserve">) et contribuer à renforcer le potentiel de croissance, la création d'emplois et la résilience économique et sociale des États membres. </w:t>
      </w:r>
    </w:p>
    <w:p w14:paraId="324A924D" w14:textId="77777777" w:rsidR="005A1DE3" w:rsidRPr="001A793B" w:rsidRDefault="005A1DE3" w:rsidP="001A793B">
      <w:pPr>
        <w:pStyle w:val="Paragraphedeliste"/>
        <w:spacing w:after="0" w:line="276" w:lineRule="auto"/>
        <w:jc w:val="both"/>
        <w:rPr>
          <w:rFonts w:cstheme="minorHAnsi"/>
          <w:sz w:val="20"/>
          <w:szCs w:val="20"/>
        </w:rPr>
      </w:pPr>
    </w:p>
    <w:p w14:paraId="71DB5216" w14:textId="77777777" w:rsidR="005A1DE3" w:rsidRPr="001A793B" w:rsidRDefault="005A1DE3" w:rsidP="001A793B">
      <w:pPr>
        <w:pStyle w:val="Paragraphedeliste"/>
        <w:spacing w:after="0" w:line="276" w:lineRule="auto"/>
        <w:ind w:left="0"/>
        <w:jc w:val="both"/>
        <w:rPr>
          <w:rFonts w:cstheme="minorHAnsi"/>
          <w:sz w:val="20"/>
          <w:szCs w:val="20"/>
        </w:rPr>
      </w:pPr>
      <w:r w:rsidRPr="001A793B">
        <w:rPr>
          <w:rFonts w:cstheme="minorHAnsi"/>
          <w:sz w:val="20"/>
          <w:szCs w:val="20"/>
        </w:rPr>
        <w:t xml:space="preserve">Un montant équivalant à minimum 37 % de l'enveloppe du plan devra soutenir la transition écologique. </w:t>
      </w:r>
      <w:bookmarkStart w:id="1" w:name="_Hlk54967515"/>
      <w:r w:rsidRPr="001A793B">
        <w:rPr>
          <w:rFonts w:cstheme="minorHAnsi"/>
          <w:sz w:val="20"/>
          <w:szCs w:val="20"/>
        </w:rPr>
        <w:t xml:space="preserve">La Commission encourage par ailleurs les États membres à proposer des initiatives phares en matière d'investissements et de réformes visant, par exemple, à accélérer le développement et l'utilisation des énergies </w:t>
      </w:r>
      <w:r w:rsidRPr="001A793B">
        <w:rPr>
          <w:rFonts w:cstheme="minorHAnsi"/>
          <w:sz w:val="20"/>
          <w:szCs w:val="20"/>
        </w:rPr>
        <w:lastRenderedPageBreak/>
        <w:t>renouvelables, à améliorer l'efficacité énergétique des bâtiments publics et privés et leur efficacité dans l'utilisation des ressources, et à accélérer l'utilisation de transports durables, accessibles et intelligents.</w:t>
      </w:r>
      <w:bookmarkEnd w:id="1"/>
    </w:p>
    <w:p w14:paraId="05E90617" w14:textId="77777777" w:rsidR="005A1DE3" w:rsidRPr="001A793B" w:rsidRDefault="005A1DE3" w:rsidP="001A793B">
      <w:pPr>
        <w:pStyle w:val="Paragraphedeliste"/>
        <w:spacing w:after="0" w:line="276" w:lineRule="auto"/>
        <w:jc w:val="both"/>
        <w:rPr>
          <w:rFonts w:cstheme="minorHAnsi"/>
          <w:sz w:val="20"/>
          <w:szCs w:val="20"/>
        </w:rPr>
      </w:pPr>
    </w:p>
    <w:p w14:paraId="579B49A4" w14:textId="6F774FBB" w:rsidR="005A1DE3" w:rsidRPr="001A793B" w:rsidRDefault="005A1DE3" w:rsidP="001A793B">
      <w:pPr>
        <w:pStyle w:val="Paragraphedeliste"/>
        <w:spacing w:after="0" w:line="276" w:lineRule="auto"/>
        <w:ind w:left="0"/>
        <w:jc w:val="both"/>
        <w:rPr>
          <w:rFonts w:cstheme="minorHAnsi"/>
          <w:sz w:val="20"/>
          <w:szCs w:val="20"/>
        </w:rPr>
      </w:pPr>
      <w:r w:rsidRPr="001A793B">
        <w:rPr>
          <w:rFonts w:cstheme="minorHAnsi"/>
          <w:sz w:val="20"/>
          <w:szCs w:val="20"/>
        </w:rPr>
        <w:t>Toutes les réformes et tous les investissements inclus dans les plans</w:t>
      </w:r>
      <w:r w:rsidR="00447C4E">
        <w:rPr>
          <w:rFonts w:cstheme="minorHAnsi"/>
          <w:sz w:val="20"/>
          <w:szCs w:val="20"/>
        </w:rPr>
        <w:t xml:space="preserve"> (cf. questions 8 et 9)</w:t>
      </w:r>
      <w:r w:rsidRPr="001A793B">
        <w:rPr>
          <w:rFonts w:cstheme="minorHAnsi"/>
          <w:sz w:val="20"/>
          <w:szCs w:val="20"/>
        </w:rPr>
        <w:t xml:space="preserve"> devront </w:t>
      </w:r>
      <w:bookmarkStart w:id="2" w:name="_Hlk54967188"/>
      <w:r w:rsidRPr="001A793B">
        <w:rPr>
          <w:rFonts w:cstheme="minorHAnsi"/>
          <w:sz w:val="20"/>
          <w:szCs w:val="20"/>
        </w:rPr>
        <w:t xml:space="preserve">respecter le principe consistant à «ne pas causer de </w:t>
      </w:r>
      <w:proofErr w:type="gramStart"/>
      <w:r w:rsidRPr="001A793B">
        <w:rPr>
          <w:rFonts w:cstheme="minorHAnsi"/>
          <w:sz w:val="20"/>
          <w:szCs w:val="20"/>
        </w:rPr>
        <w:t>préjudice»</w:t>
      </w:r>
      <w:proofErr w:type="gramEnd"/>
      <w:r w:rsidRPr="001A793B">
        <w:rPr>
          <w:rFonts w:cstheme="minorHAnsi"/>
          <w:sz w:val="20"/>
          <w:szCs w:val="20"/>
        </w:rPr>
        <w:t>, c'est-à-dire qu'ils ne devraient pas se faire au détriment des objectifs climatiques et environnementaux.</w:t>
      </w:r>
      <w:bookmarkEnd w:id="2"/>
      <w:r w:rsidRPr="001A793B">
        <w:rPr>
          <w:rFonts w:cstheme="minorHAnsi"/>
          <w:sz w:val="20"/>
          <w:szCs w:val="20"/>
        </w:rPr>
        <w:t xml:space="preserve"> </w:t>
      </w:r>
    </w:p>
    <w:p w14:paraId="7B64F5A3" w14:textId="77777777" w:rsidR="005A1DE3" w:rsidRPr="001A793B" w:rsidRDefault="005A1DE3" w:rsidP="001A793B">
      <w:pPr>
        <w:pStyle w:val="Paragraphedeliste"/>
        <w:spacing w:after="0" w:line="276" w:lineRule="auto"/>
        <w:ind w:left="0"/>
        <w:jc w:val="both"/>
        <w:rPr>
          <w:rFonts w:cstheme="minorHAnsi"/>
          <w:sz w:val="20"/>
          <w:szCs w:val="20"/>
        </w:rPr>
      </w:pPr>
    </w:p>
    <w:p w14:paraId="6B305EFB" w14:textId="64A230AD" w:rsidR="005A1DE3" w:rsidRDefault="005A1DE3" w:rsidP="001A793B">
      <w:pPr>
        <w:pStyle w:val="Paragraphedeliste"/>
        <w:spacing w:after="0" w:line="276" w:lineRule="auto"/>
        <w:ind w:left="0"/>
        <w:jc w:val="both"/>
        <w:rPr>
          <w:rFonts w:cstheme="minorHAnsi"/>
          <w:sz w:val="20"/>
          <w:szCs w:val="20"/>
        </w:rPr>
      </w:pPr>
      <w:r w:rsidRPr="001A793B">
        <w:rPr>
          <w:rFonts w:cstheme="minorHAnsi"/>
          <w:sz w:val="20"/>
          <w:szCs w:val="20"/>
        </w:rPr>
        <w:t>Un montant équivalant à au moins 20 % de l'enveloppe du plan devra soutenir la transition numérique. Il s'agit, par exemple, d'investir dans le déploiement des réseaux 5G et de la connectivité gigabit, de développer les compétences numériques grâce à des réformes des systèmes éducatifs et d'accroître la disponibilité et l'efficacité des services publics au moyen de nouveaux outils numériques.</w:t>
      </w:r>
    </w:p>
    <w:p w14:paraId="21D37C1D" w14:textId="77777777" w:rsidR="005A1DE3" w:rsidRPr="001A793B" w:rsidRDefault="005A1DE3" w:rsidP="001A793B">
      <w:pPr>
        <w:pStyle w:val="Paragraphedeliste"/>
        <w:spacing w:after="0" w:line="276" w:lineRule="auto"/>
        <w:ind w:left="0"/>
        <w:rPr>
          <w:rFonts w:cstheme="minorHAnsi"/>
          <w:sz w:val="20"/>
          <w:szCs w:val="20"/>
        </w:rPr>
      </w:pPr>
    </w:p>
    <w:p w14:paraId="4BCFF4C8" w14:textId="08E38895" w:rsidR="00D82178" w:rsidRPr="001E7B28" w:rsidRDefault="00C17284" w:rsidP="001A793B">
      <w:pPr>
        <w:pStyle w:val="Paragraphedeliste"/>
        <w:numPr>
          <w:ilvl w:val="0"/>
          <w:numId w:val="10"/>
        </w:numPr>
        <w:spacing w:after="0" w:line="276" w:lineRule="auto"/>
        <w:rPr>
          <w:rFonts w:cstheme="minorHAnsi"/>
          <w:b/>
          <w:bCs/>
          <w:sz w:val="24"/>
          <w:szCs w:val="24"/>
        </w:rPr>
      </w:pPr>
      <w:r w:rsidRPr="001E7B28">
        <w:rPr>
          <w:rFonts w:cstheme="minorHAnsi"/>
          <w:b/>
          <w:bCs/>
          <w:sz w:val="24"/>
          <w:szCs w:val="24"/>
        </w:rPr>
        <w:t>Qu</w:t>
      </w:r>
      <w:r w:rsidR="000B3EE1" w:rsidRPr="001E7B28">
        <w:rPr>
          <w:rFonts w:cstheme="minorHAnsi"/>
          <w:b/>
          <w:bCs/>
          <w:sz w:val="24"/>
          <w:szCs w:val="24"/>
        </w:rPr>
        <w:t xml:space="preserve">’entend-on par </w:t>
      </w:r>
      <w:r w:rsidR="00B44C69" w:rsidRPr="001E7B28">
        <w:rPr>
          <w:rFonts w:cstheme="minorHAnsi"/>
          <w:b/>
          <w:bCs/>
          <w:sz w:val="24"/>
          <w:szCs w:val="24"/>
        </w:rPr>
        <w:t>« investissement »</w:t>
      </w:r>
      <w:r w:rsidR="00D82178" w:rsidRPr="001E7B28">
        <w:rPr>
          <w:rFonts w:cstheme="minorHAnsi"/>
          <w:b/>
          <w:bCs/>
          <w:sz w:val="24"/>
          <w:szCs w:val="24"/>
        </w:rPr>
        <w:t> ?</w:t>
      </w:r>
    </w:p>
    <w:p w14:paraId="1BFB7B98" w14:textId="77777777" w:rsidR="001E7B28" w:rsidRPr="001A793B" w:rsidRDefault="001E7B28" w:rsidP="001E7B28">
      <w:pPr>
        <w:pStyle w:val="Paragraphedeliste"/>
        <w:spacing w:after="0" w:line="276" w:lineRule="auto"/>
        <w:ind w:left="360"/>
        <w:rPr>
          <w:rFonts w:cstheme="minorHAnsi"/>
          <w:b/>
          <w:bCs/>
          <w:sz w:val="20"/>
          <w:szCs w:val="20"/>
        </w:rPr>
      </w:pPr>
    </w:p>
    <w:p w14:paraId="413E1B7C" w14:textId="2EC91A77" w:rsidR="00D82178" w:rsidRDefault="00D82178" w:rsidP="001A793B">
      <w:pPr>
        <w:spacing w:after="0" w:line="276" w:lineRule="auto"/>
        <w:jc w:val="both"/>
        <w:rPr>
          <w:rFonts w:cstheme="minorHAnsi"/>
          <w:sz w:val="20"/>
          <w:szCs w:val="20"/>
        </w:rPr>
      </w:pPr>
      <w:r w:rsidRPr="001A793B">
        <w:rPr>
          <w:rFonts w:cstheme="minorHAnsi"/>
          <w:sz w:val="20"/>
          <w:szCs w:val="20"/>
        </w:rPr>
        <w:t xml:space="preserve">La </w:t>
      </w:r>
      <w:r w:rsidR="002C0D6C">
        <w:rPr>
          <w:rFonts w:cstheme="minorHAnsi"/>
          <w:sz w:val="20"/>
          <w:szCs w:val="20"/>
        </w:rPr>
        <w:t>facilité pour la reprise et la résilience</w:t>
      </w:r>
      <w:r w:rsidRPr="001A793B">
        <w:rPr>
          <w:rFonts w:cstheme="minorHAnsi"/>
          <w:sz w:val="20"/>
          <w:szCs w:val="20"/>
        </w:rPr>
        <w:t xml:space="preserve"> propose une conception large de l'investissement en tant que formation de capital dans des domaines tels que le capital fixe, le capital humain et le capital naturel. Le capital fixe concerne par exemple les investissements dans les infrastructures et les bâtiments, mais aussi certains actifs incorporels tels que la recherche et le développement, les brevets ou les logiciels. Le capital humain </w:t>
      </w:r>
      <w:r w:rsidR="00BE4FC9">
        <w:rPr>
          <w:rFonts w:cstheme="minorHAnsi"/>
          <w:sz w:val="20"/>
          <w:szCs w:val="20"/>
        </w:rPr>
        <w:t>se réfère aux</w:t>
      </w:r>
      <w:r w:rsidRPr="001A793B">
        <w:rPr>
          <w:rFonts w:cstheme="minorHAnsi"/>
          <w:sz w:val="20"/>
          <w:szCs w:val="20"/>
        </w:rPr>
        <w:t xml:space="preserve"> dépenses consacrées à la santé, à la protection sociale, à l'éducation, à la formation et à l'acquisition de compétences. Le capital naturel est renforcé par des actions visant à accroître la part des ressources naturelles renouvelables et à protéger ou à restaurer l'environnement, ou par l'atténuation du changement climatique/l'adaptation à celui-ci.</w:t>
      </w:r>
    </w:p>
    <w:p w14:paraId="7ACA6A29" w14:textId="77777777" w:rsidR="00397E64" w:rsidRPr="001A793B" w:rsidRDefault="00397E64" w:rsidP="001A793B">
      <w:pPr>
        <w:spacing w:after="0" w:line="276" w:lineRule="auto"/>
        <w:jc w:val="both"/>
        <w:rPr>
          <w:rFonts w:cstheme="minorHAnsi"/>
          <w:sz w:val="20"/>
          <w:szCs w:val="20"/>
        </w:rPr>
      </w:pPr>
    </w:p>
    <w:p w14:paraId="30903888" w14:textId="6E898357" w:rsidR="00D82178" w:rsidRDefault="00D82178" w:rsidP="001A793B">
      <w:pPr>
        <w:spacing w:after="0" w:line="276" w:lineRule="auto"/>
        <w:jc w:val="both"/>
        <w:rPr>
          <w:rFonts w:cstheme="minorHAnsi"/>
          <w:sz w:val="20"/>
          <w:szCs w:val="20"/>
        </w:rPr>
      </w:pPr>
      <w:r w:rsidRPr="001A793B">
        <w:rPr>
          <w:rFonts w:cstheme="minorHAnsi"/>
          <w:sz w:val="20"/>
          <w:szCs w:val="20"/>
        </w:rPr>
        <w:t xml:space="preserve">Les investissements peuvent prendre la forme d'investissements directs (par exemple, financer un projet avec des fonds publics) ou être mis en œuvre de manière plus indirecte (comme la rénovation de bâtiments </w:t>
      </w:r>
      <w:r w:rsidR="00FC79B6">
        <w:rPr>
          <w:rFonts w:cstheme="minorHAnsi"/>
          <w:sz w:val="20"/>
          <w:szCs w:val="20"/>
        </w:rPr>
        <w:t>afin d’en</w:t>
      </w:r>
      <w:r w:rsidRPr="001A793B">
        <w:rPr>
          <w:rFonts w:cstheme="minorHAnsi"/>
          <w:sz w:val="20"/>
          <w:szCs w:val="20"/>
        </w:rPr>
        <w:t xml:space="preserve"> améliorer l'efficacité énergétique et l'utilisation des ressources, des mesures pour aider à </w:t>
      </w:r>
      <w:r w:rsidR="00BD4277">
        <w:rPr>
          <w:rFonts w:cstheme="minorHAnsi"/>
          <w:sz w:val="20"/>
          <w:szCs w:val="20"/>
        </w:rPr>
        <w:t xml:space="preserve">développer le numérique dans </w:t>
      </w:r>
      <w:r w:rsidRPr="001A793B">
        <w:rPr>
          <w:rFonts w:cstheme="minorHAnsi"/>
          <w:sz w:val="20"/>
          <w:szCs w:val="20"/>
        </w:rPr>
        <w:t>les petites entreprises, le développement d'infrastructures de recherche et de technologie</w:t>
      </w:r>
      <w:r w:rsidR="00D662DE">
        <w:rPr>
          <w:rFonts w:cstheme="minorHAnsi"/>
          <w:sz w:val="20"/>
          <w:szCs w:val="20"/>
        </w:rPr>
        <w:t>, etc.</w:t>
      </w:r>
      <w:r w:rsidRPr="001A793B">
        <w:rPr>
          <w:rFonts w:cstheme="minorHAnsi"/>
          <w:sz w:val="20"/>
          <w:szCs w:val="20"/>
        </w:rPr>
        <w:t xml:space="preserve">). Cela peut prendre la forme d'instruments financiers, de régimes de soutien, de subventions et d'autres facilités. </w:t>
      </w:r>
    </w:p>
    <w:p w14:paraId="2C8094BF" w14:textId="5BD72BD7" w:rsidR="00F53F66" w:rsidRDefault="00F53F66" w:rsidP="001A793B">
      <w:pPr>
        <w:spacing w:after="0" w:line="276" w:lineRule="auto"/>
        <w:jc w:val="both"/>
        <w:rPr>
          <w:rFonts w:cstheme="minorHAnsi"/>
          <w:sz w:val="20"/>
          <w:szCs w:val="20"/>
        </w:rPr>
      </w:pPr>
    </w:p>
    <w:p w14:paraId="68B9C9BE" w14:textId="3A7D7AC8" w:rsidR="00F53F66" w:rsidRDefault="00F53F66" w:rsidP="001A793B">
      <w:pPr>
        <w:spacing w:after="0" w:line="276" w:lineRule="auto"/>
        <w:jc w:val="both"/>
        <w:rPr>
          <w:rFonts w:cstheme="minorHAnsi"/>
          <w:sz w:val="20"/>
          <w:szCs w:val="20"/>
        </w:rPr>
      </w:pPr>
      <w:r w:rsidRPr="001A793B">
        <w:rPr>
          <w:rFonts w:cstheme="minorHAnsi"/>
          <w:sz w:val="20"/>
          <w:szCs w:val="20"/>
        </w:rPr>
        <w:t>Les investissements ne devraient pas couvrir des domaines qui sont déjà couverts de manière satisfaisante par le marché, mais devraient remédier aux défaillances du marché et, dans la mesure du possible, viser à attirer des investisseurs privés pour multiplier l'impact du mécanisme de relance et de résilience.</w:t>
      </w:r>
    </w:p>
    <w:p w14:paraId="117B3665" w14:textId="77777777" w:rsidR="00397E64" w:rsidRPr="001A793B" w:rsidRDefault="00397E64" w:rsidP="001A793B">
      <w:pPr>
        <w:spacing w:after="0" w:line="276" w:lineRule="auto"/>
        <w:jc w:val="both"/>
        <w:rPr>
          <w:rFonts w:cstheme="minorHAnsi"/>
          <w:sz w:val="20"/>
          <w:szCs w:val="20"/>
        </w:rPr>
      </w:pPr>
    </w:p>
    <w:p w14:paraId="2AFB8262" w14:textId="6A534F90" w:rsidR="00D82178" w:rsidRPr="00A240D6" w:rsidRDefault="00D82178" w:rsidP="001A793B">
      <w:pPr>
        <w:pStyle w:val="Paragraphedeliste"/>
        <w:numPr>
          <w:ilvl w:val="0"/>
          <w:numId w:val="10"/>
        </w:numPr>
        <w:spacing w:after="0" w:line="276" w:lineRule="auto"/>
        <w:rPr>
          <w:rFonts w:cstheme="minorHAnsi"/>
          <w:b/>
          <w:bCs/>
          <w:sz w:val="24"/>
          <w:szCs w:val="24"/>
        </w:rPr>
      </w:pPr>
      <w:r w:rsidRPr="00A240D6">
        <w:rPr>
          <w:rFonts w:cstheme="minorHAnsi"/>
          <w:b/>
          <w:bCs/>
          <w:sz w:val="24"/>
          <w:szCs w:val="24"/>
        </w:rPr>
        <w:t>Qu’entend-on par « réforme </w:t>
      </w:r>
      <w:proofErr w:type="gramStart"/>
      <w:r w:rsidRPr="00A240D6">
        <w:rPr>
          <w:rFonts w:cstheme="minorHAnsi"/>
          <w:b/>
          <w:bCs/>
          <w:sz w:val="24"/>
          <w:szCs w:val="24"/>
        </w:rPr>
        <w:t>»</w:t>
      </w:r>
      <w:r w:rsidR="000B3EE1" w:rsidRPr="00A240D6">
        <w:rPr>
          <w:rFonts w:cstheme="minorHAnsi"/>
          <w:b/>
          <w:bCs/>
          <w:sz w:val="24"/>
          <w:szCs w:val="24"/>
        </w:rPr>
        <w:t>?</w:t>
      </w:r>
      <w:proofErr w:type="gramEnd"/>
      <w:r w:rsidR="000B3EE1" w:rsidRPr="00A240D6">
        <w:rPr>
          <w:rFonts w:cstheme="minorHAnsi"/>
          <w:b/>
          <w:bCs/>
          <w:sz w:val="24"/>
          <w:szCs w:val="24"/>
        </w:rPr>
        <w:t xml:space="preserve"> </w:t>
      </w:r>
    </w:p>
    <w:p w14:paraId="101F4C57" w14:textId="77777777" w:rsidR="00397E64" w:rsidRDefault="00397E64" w:rsidP="001A793B">
      <w:pPr>
        <w:spacing w:after="0" w:line="276" w:lineRule="auto"/>
        <w:jc w:val="both"/>
        <w:rPr>
          <w:rFonts w:cstheme="minorHAnsi"/>
          <w:sz w:val="20"/>
          <w:szCs w:val="20"/>
        </w:rPr>
      </w:pPr>
    </w:p>
    <w:p w14:paraId="70BE5079" w14:textId="77777777" w:rsidR="00A240D6" w:rsidRDefault="00D82178" w:rsidP="001A793B">
      <w:pPr>
        <w:spacing w:after="0" w:line="276" w:lineRule="auto"/>
        <w:jc w:val="both"/>
        <w:rPr>
          <w:rFonts w:cstheme="minorHAnsi"/>
          <w:sz w:val="20"/>
          <w:szCs w:val="20"/>
        </w:rPr>
      </w:pPr>
      <w:r w:rsidRPr="001A793B">
        <w:rPr>
          <w:rFonts w:cstheme="minorHAnsi"/>
          <w:sz w:val="20"/>
          <w:szCs w:val="20"/>
        </w:rPr>
        <w:t>Les réformes devraient être interprétées globalement comme se rapportant à des actions ou à des processus qui visent à améliorer durablement le fonctionnement des marchés, des structures institutionnelles, des administrations publiques ou des politiques pertinentes, telles que les transitions écologique et numérique.</w:t>
      </w:r>
    </w:p>
    <w:p w14:paraId="0DC5AC71" w14:textId="09F0AA34" w:rsidR="00D82178" w:rsidRPr="001A793B" w:rsidRDefault="00D82178" w:rsidP="001A793B">
      <w:pPr>
        <w:spacing w:after="0" w:line="276" w:lineRule="auto"/>
        <w:jc w:val="both"/>
        <w:rPr>
          <w:rFonts w:cstheme="minorHAnsi"/>
          <w:sz w:val="20"/>
          <w:szCs w:val="20"/>
        </w:rPr>
      </w:pPr>
      <w:r w:rsidRPr="001A793B">
        <w:rPr>
          <w:rFonts w:cstheme="minorHAnsi"/>
          <w:sz w:val="20"/>
          <w:szCs w:val="20"/>
        </w:rPr>
        <w:t xml:space="preserve"> </w:t>
      </w:r>
    </w:p>
    <w:p w14:paraId="299F7640" w14:textId="1BC05FE7" w:rsidR="00DE08E6" w:rsidRDefault="00D82178" w:rsidP="001A793B">
      <w:pPr>
        <w:spacing w:after="0" w:line="276" w:lineRule="auto"/>
        <w:jc w:val="both"/>
        <w:rPr>
          <w:rFonts w:cstheme="minorHAnsi"/>
          <w:sz w:val="20"/>
          <w:szCs w:val="20"/>
        </w:rPr>
      </w:pPr>
      <w:r w:rsidRPr="001A793B">
        <w:rPr>
          <w:rFonts w:cstheme="minorHAnsi"/>
          <w:sz w:val="20"/>
          <w:szCs w:val="20"/>
        </w:rPr>
        <w:t>Dans certains cas, des réformes seront essentielles pour assurer une mise en œuvre efficace et efficiente des investissements en offrant un environnement concurrentiel et administratif favorable et en prévenant l'utilisation abusive des financements de l'UE.</w:t>
      </w:r>
    </w:p>
    <w:p w14:paraId="3E2BE088" w14:textId="77777777" w:rsidR="00397E64" w:rsidRPr="001A793B" w:rsidRDefault="00397E64" w:rsidP="001A793B">
      <w:pPr>
        <w:spacing w:after="0" w:line="276" w:lineRule="auto"/>
        <w:jc w:val="both"/>
        <w:rPr>
          <w:rFonts w:cstheme="minorHAnsi"/>
          <w:sz w:val="20"/>
          <w:szCs w:val="20"/>
        </w:rPr>
      </w:pPr>
    </w:p>
    <w:p w14:paraId="50C955D3" w14:textId="50222C04" w:rsidR="00DE08E6" w:rsidRDefault="00DE08E6" w:rsidP="001A793B">
      <w:pPr>
        <w:pStyle w:val="Paragraphedeliste"/>
        <w:numPr>
          <w:ilvl w:val="0"/>
          <w:numId w:val="10"/>
        </w:numPr>
        <w:spacing w:after="0" w:line="276" w:lineRule="auto"/>
        <w:jc w:val="both"/>
        <w:rPr>
          <w:rFonts w:cstheme="minorHAnsi"/>
          <w:b/>
          <w:bCs/>
          <w:sz w:val="24"/>
          <w:szCs w:val="24"/>
        </w:rPr>
      </w:pPr>
      <w:r w:rsidRPr="00A240D6">
        <w:rPr>
          <w:rFonts w:cstheme="minorHAnsi"/>
          <w:b/>
          <w:bCs/>
          <w:sz w:val="24"/>
          <w:szCs w:val="24"/>
        </w:rPr>
        <w:t xml:space="preserve">Quels sont les projets phares d'investissement ou de réforme que la Commission encourage les États membres à </w:t>
      </w:r>
      <w:proofErr w:type="gramStart"/>
      <w:r w:rsidRPr="00A240D6">
        <w:rPr>
          <w:rFonts w:cstheme="minorHAnsi"/>
          <w:b/>
          <w:bCs/>
          <w:sz w:val="24"/>
          <w:szCs w:val="24"/>
        </w:rPr>
        <w:t>proposer?</w:t>
      </w:r>
      <w:proofErr w:type="gramEnd"/>
    </w:p>
    <w:p w14:paraId="49FF6B3F" w14:textId="77777777" w:rsidR="00A240D6" w:rsidRPr="00A240D6" w:rsidRDefault="00A240D6" w:rsidP="00A240D6">
      <w:pPr>
        <w:pStyle w:val="Paragraphedeliste"/>
        <w:spacing w:after="0" w:line="276" w:lineRule="auto"/>
        <w:ind w:left="360"/>
        <w:jc w:val="both"/>
        <w:rPr>
          <w:rFonts w:cstheme="minorHAnsi"/>
          <w:b/>
          <w:bCs/>
          <w:sz w:val="24"/>
          <w:szCs w:val="24"/>
        </w:rPr>
      </w:pPr>
    </w:p>
    <w:p w14:paraId="14899ECE" w14:textId="3451A36A" w:rsidR="00DE08E6" w:rsidRDefault="00DE08E6" w:rsidP="001A793B">
      <w:pPr>
        <w:spacing w:after="0" w:line="276" w:lineRule="auto"/>
        <w:jc w:val="both"/>
        <w:rPr>
          <w:rFonts w:cstheme="minorHAnsi"/>
          <w:sz w:val="20"/>
          <w:szCs w:val="20"/>
        </w:rPr>
      </w:pPr>
      <w:r w:rsidRPr="001A793B">
        <w:rPr>
          <w:rFonts w:cstheme="minorHAnsi"/>
          <w:sz w:val="20"/>
          <w:szCs w:val="20"/>
        </w:rPr>
        <w:t xml:space="preserve">La Commission encourage vivement les États membres à prévoir dans leurs plans pour la reprise et la résilience des investissements et des réformes dans les domaines </w:t>
      </w:r>
      <w:proofErr w:type="gramStart"/>
      <w:r w:rsidRPr="001A793B">
        <w:rPr>
          <w:rFonts w:cstheme="minorHAnsi"/>
          <w:sz w:val="20"/>
          <w:szCs w:val="20"/>
        </w:rPr>
        <w:t>suivants:</w:t>
      </w:r>
      <w:proofErr w:type="gramEnd"/>
    </w:p>
    <w:p w14:paraId="3AF6E376" w14:textId="77777777" w:rsidR="00397E64" w:rsidRPr="001A793B" w:rsidRDefault="00397E64" w:rsidP="001A793B">
      <w:pPr>
        <w:spacing w:after="0" w:line="276" w:lineRule="auto"/>
        <w:jc w:val="both"/>
        <w:rPr>
          <w:rFonts w:cstheme="minorHAnsi"/>
          <w:sz w:val="20"/>
          <w:szCs w:val="20"/>
        </w:rPr>
      </w:pPr>
    </w:p>
    <w:p w14:paraId="7E9E0798" w14:textId="77777777" w:rsidR="00DE08E6" w:rsidRPr="001A793B" w:rsidRDefault="00DE08E6" w:rsidP="001A793B">
      <w:pPr>
        <w:pStyle w:val="Paragraphedeliste"/>
        <w:numPr>
          <w:ilvl w:val="0"/>
          <w:numId w:val="11"/>
        </w:numPr>
        <w:spacing w:after="0" w:line="276" w:lineRule="auto"/>
        <w:jc w:val="both"/>
        <w:rPr>
          <w:rFonts w:cstheme="minorHAnsi"/>
          <w:sz w:val="20"/>
          <w:szCs w:val="20"/>
        </w:rPr>
      </w:pPr>
      <w:r w:rsidRPr="001A793B">
        <w:rPr>
          <w:rFonts w:cstheme="minorHAnsi"/>
          <w:sz w:val="20"/>
          <w:szCs w:val="20"/>
        </w:rPr>
        <w:lastRenderedPageBreak/>
        <w:t>Monter en puissance – privilégier le plus rapidement possible les technologies propres pérennes et accélérer le développement et l'utilisation des énergies renouvelables.</w:t>
      </w:r>
    </w:p>
    <w:p w14:paraId="0F964C5B" w14:textId="77777777" w:rsidR="00DE08E6" w:rsidRPr="001A793B" w:rsidRDefault="00DE08E6" w:rsidP="001A793B">
      <w:pPr>
        <w:pStyle w:val="Paragraphedeliste"/>
        <w:numPr>
          <w:ilvl w:val="0"/>
          <w:numId w:val="11"/>
        </w:numPr>
        <w:spacing w:after="0" w:line="276" w:lineRule="auto"/>
        <w:jc w:val="both"/>
        <w:rPr>
          <w:rFonts w:cstheme="minorHAnsi"/>
          <w:sz w:val="20"/>
          <w:szCs w:val="20"/>
        </w:rPr>
      </w:pPr>
      <w:r w:rsidRPr="001A793B">
        <w:rPr>
          <w:rFonts w:cstheme="minorHAnsi"/>
          <w:sz w:val="20"/>
          <w:szCs w:val="20"/>
        </w:rPr>
        <w:t>Rénover – améliorer l'efficacité énergétique des bâtiments publics et privés.</w:t>
      </w:r>
    </w:p>
    <w:p w14:paraId="13FBF589" w14:textId="77777777" w:rsidR="00DE08E6" w:rsidRPr="001A793B" w:rsidRDefault="00DE08E6" w:rsidP="001A793B">
      <w:pPr>
        <w:pStyle w:val="Paragraphedeliste"/>
        <w:numPr>
          <w:ilvl w:val="0"/>
          <w:numId w:val="11"/>
        </w:numPr>
        <w:spacing w:after="0" w:line="276" w:lineRule="auto"/>
        <w:jc w:val="both"/>
        <w:rPr>
          <w:rFonts w:cstheme="minorHAnsi"/>
          <w:sz w:val="20"/>
          <w:szCs w:val="20"/>
        </w:rPr>
      </w:pPr>
      <w:r w:rsidRPr="001A793B">
        <w:rPr>
          <w:rFonts w:cstheme="minorHAnsi"/>
          <w:sz w:val="20"/>
          <w:szCs w:val="20"/>
        </w:rPr>
        <w:t>Recharger et ravitailler – promouvoir les technologies propres pérennes pour accélérer l'utilisation de transports durables, accessibles et intelligents, le déploiement de stations de recharge et de ravitaillement et l'extension des transports publics.</w:t>
      </w:r>
    </w:p>
    <w:p w14:paraId="44073E45" w14:textId="77777777" w:rsidR="00DE08E6" w:rsidRPr="001A793B" w:rsidRDefault="00DE08E6" w:rsidP="001A793B">
      <w:pPr>
        <w:pStyle w:val="Paragraphedeliste"/>
        <w:numPr>
          <w:ilvl w:val="0"/>
          <w:numId w:val="11"/>
        </w:numPr>
        <w:spacing w:after="0" w:line="276" w:lineRule="auto"/>
        <w:jc w:val="both"/>
        <w:rPr>
          <w:rFonts w:cstheme="minorHAnsi"/>
          <w:sz w:val="20"/>
          <w:szCs w:val="20"/>
        </w:rPr>
      </w:pPr>
      <w:r w:rsidRPr="001A793B">
        <w:rPr>
          <w:rFonts w:cstheme="minorHAnsi"/>
          <w:sz w:val="20"/>
          <w:szCs w:val="20"/>
        </w:rPr>
        <w:t>Connecter – déployer rapidement les services à haut débit dans toutes les régions et tous les ménages, y compris au moyen de la fibre et des réseaux 5G.</w:t>
      </w:r>
    </w:p>
    <w:p w14:paraId="64ECAB11" w14:textId="77777777" w:rsidR="00DE08E6" w:rsidRPr="001A793B" w:rsidRDefault="00DE08E6" w:rsidP="001A793B">
      <w:pPr>
        <w:pStyle w:val="Paragraphedeliste"/>
        <w:numPr>
          <w:ilvl w:val="0"/>
          <w:numId w:val="11"/>
        </w:numPr>
        <w:spacing w:after="0" w:line="276" w:lineRule="auto"/>
        <w:jc w:val="both"/>
        <w:rPr>
          <w:rFonts w:cstheme="minorHAnsi"/>
          <w:sz w:val="20"/>
          <w:szCs w:val="20"/>
        </w:rPr>
      </w:pPr>
      <w:r w:rsidRPr="001A793B">
        <w:rPr>
          <w:rFonts w:cstheme="minorHAnsi"/>
          <w:sz w:val="20"/>
          <w:szCs w:val="20"/>
        </w:rPr>
        <w:t>Moderniser – numériser l'administration et les services publics, y compris les systèmes judiciaires et de soins de santé.</w:t>
      </w:r>
    </w:p>
    <w:p w14:paraId="666B8862" w14:textId="77777777" w:rsidR="00DE08E6" w:rsidRPr="001A793B" w:rsidRDefault="00DE08E6" w:rsidP="001A793B">
      <w:pPr>
        <w:pStyle w:val="Paragraphedeliste"/>
        <w:numPr>
          <w:ilvl w:val="0"/>
          <w:numId w:val="11"/>
        </w:numPr>
        <w:spacing w:after="0" w:line="276" w:lineRule="auto"/>
        <w:jc w:val="both"/>
        <w:rPr>
          <w:rFonts w:cstheme="minorHAnsi"/>
          <w:sz w:val="20"/>
          <w:szCs w:val="20"/>
        </w:rPr>
      </w:pPr>
      <w:r w:rsidRPr="001A793B">
        <w:rPr>
          <w:rFonts w:cstheme="minorHAnsi"/>
          <w:sz w:val="20"/>
          <w:szCs w:val="20"/>
        </w:rPr>
        <w:t>Développer – accroître les capacités industrielles européennes en matière de données en nuage et développer les processeurs les plus puissants, avancés et durables.</w:t>
      </w:r>
    </w:p>
    <w:p w14:paraId="465C164E" w14:textId="77777777" w:rsidR="00DE08E6" w:rsidRPr="001A793B" w:rsidRDefault="00DE08E6" w:rsidP="001A793B">
      <w:pPr>
        <w:pStyle w:val="Paragraphedeliste"/>
        <w:numPr>
          <w:ilvl w:val="0"/>
          <w:numId w:val="11"/>
        </w:numPr>
        <w:spacing w:after="0" w:line="276" w:lineRule="auto"/>
        <w:jc w:val="both"/>
        <w:rPr>
          <w:rFonts w:cstheme="minorHAnsi"/>
          <w:sz w:val="20"/>
          <w:szCs w:val="20"/>
        </w:rPr>
      </w:pPr>
      <w:r w:rsidRPr="001A793B">
        <w:rPr>
          <w:rFonts w:cstheme="minorHAnsi"/>
          <w:sz w:val="20"/>
          <w:szCs w:val="20"/>
        </w:rPr>
        <w:t>Promouvoir la reconversion et le renforcement des compétences – adapter les systèmes éducatifs au soutien des compétences numériques et de la formation scolaire et professionnelle à tout âge.</w:t>
      </w:r>
    </w:p>
    <w:p w14:paraId="22383D66" w14:textId="77777777" w:rsidR="000B3EE1" w:rsidRPr="001A793B" w:rsidRDefault="000B3EE1" w:rsidP="001A793B">
      <w:pPr>
        <w:pStyle w:val="Paragraphedeliste"/>
        <w:spacing w:after="0" w:line="276" w:lineRule="auto"/>
        <w:ind w:left="360"/>
        <w:rPr>
          <w:rFonts w:cstheme="minorHAnsi"/>
          <w:b/>
          <w:bCs/>
          <w:sz w:val="20"/>
          <w:szCs w:val="20"/>
        </w:rPr>
      </w:pPr>
    </w:p>
    <w:p w14:paraId="2DED96B3" w14:textId="7067CC04" w:rsidR="005A1DE3" w:rsidRPr="00A240D6" w:rsidRDefault="005A1DE3" w:rsidP="001A793B">
      <w:pPr>
        <w:pStyle w:val="Paragraphedeliste"/>
        <w:numPr>
          <w:ilvl w:val="0"/>
          <w:numId w:val="10"/>
        </w:numPr>
        <w:spacing w:after="0" w:line="276" w:lineRule="auto"/>
        <w:jc w:val="both"/>
        <w:rPr>
          <w:rFonts w:cstheme="minorHAnsi"/>
          <w:b/>
          <w:bCs/>
          <w:sz w:val="24"/>
          <w:szCs w:val="24"/>
        </w:rPr>
      </w:pPr>
      <w:r w:rsidRPr="00A240D6">
        <w:rPr>
          <w:rFonts w:cstheme="minorHAnsi"/>
          <w:b/>
          <w:bCs/>
          <w:sz w:val="24"/>
          <w:szCs w:val="24"/>
        </w:rPr>
        <w:t xml:space="preserve">Il y a-t-il un montant minimum </w:t>
      </w:r>
      <w:r w:rsidR="00A1180B">
        <w:rPr>
          <w:rFonts w:cstheme="minorHAnsi"/>
          <w:b/>
          <w:bCs/>
          <w:sz w:val="24"/>
          <w:szCs w:val="24"/>
        </w:rPr>
        <w:t xml:space="preserve">prévu </w:t>
      </w:r>
      <w:r w:rsidRPr="00A240D6">
        <w:rPr>
          <w:rFonts w:cstheme="minorHAnsi"/>
          <w:b/>
          <w:bCs/>
          <w:sz w:val="24"/>
          <w:szCs w:val="24"/>
        </w:rPr>
        <w:t xml:space="preserve">pour les projets </w:t>
      </w:r>
      <w:proofErr w:type="gramStart"/>
      <w:r w:rsidR="00A1180B">
        <w:rPr>
          <w:rFonts w:cstheme="minorHAnsi"/>
          <w:b/>
          <w:bCs/>
          <w:sz w:val="24"/>
          <w:szCs w:val="24"/>
        </w:rPr>
        <w:t>éligibles</w:t>
      </w:r>
      <w:r w:rsidRPr="00A240D6">
        <w:rPr>
          <w:rFonts w:cstheme="minorHAnsi"/>
          <w:b/>
          <w:bCs/>
          <w:sz w:val="24"/>
          <w:szCs w:val="24"/>
        </w:rPr>
        <w:t>?</w:t>
      </w:r>
      <w:proofErr w:type="gramEnd"/>
      <w:r w:rsidRPr="00A240D6">
        <w:rPr>
          <w:rFonts w:cstheme="minorHAnsi"/>
          <w:b/>
          <w:bCs/>
          <w:sz w:val="24"/>
          <w:szCs w:val="24"/>
        </w:rPr>
        <w:t xml:space="preserve"> </w:t>
      </w:r>
    </w:p>
    <w:p w14:paraId="7FB9DB0F" w14:textId="77777777" w:rsidR="00397E64" w:rsidRPr="001A793B" w:rsidRDefault="00397E64" w:rsidP="00397E64">
      <w:pPr>
        <w:pStyle w:val="Paragraphedeliste"/>
        <w:spacing w:after="0" w:line="276" w:lineRule="auto"/>
        <w:ind w:left="360"/>
        <w:jc w:val="both"/>
        <w:rPr>
          <w:rFonts w:cstheme="minorHAnsi"/>
          <w:b/>
          <w:bCs/>
          <w:sz w:val="20"/>
          <w:szCs w:val="20"/>
        </w:rPr>
      </w:pPr>
    </w:p>
    <w:p w14:paraId="38BC85E8" w14:textId="5A10E0FB" w:rsidR="005A1DE3" w:rsidRDefault="005A1DE3" w:rsidP="001A793B">
      <w:pPr>
        <w:spacing w:after="0" w:line="276" w:lineRule="auto"/>
        <w:jc w:val="both"/>
        <w:rPr>
          <w:rFonts w:cstheme="minorHAnsi"/>
          <w:sz w:val="20"/>
          <w:szCs w:val="20"/>
        </w:rPr>
      </w:pPr>
      <w:r w:rsidRPr="001A793B">
        <w:rPr>
          <w:rFonts w:cstheme="minorHAnsi"/>
          <w:sz w:val="20"/>
          <w:szCs w:val="20"/>
        </w:rPr>
        <w:t>Seuls les projets pour lesquels un financement public</w:t>
      </w:r>
      <w:r w:rsidR="00F233C5">
        <w:rPr>
          <w:rFonts w:cstheme="minorHAnsi"/>
          <w:sz w:val="20"/>
          <w:szCs w:val="20"/>
        </w:rPr>
        <w:t xml:space="preserve"> total</w:t>
      </w:r>
      <w:r w:rsidRPr="001A793B">
        <w:rPr>
          <w:rFonts w:cstheme="minorHAnsi"/>
          <w:sz w:val="20"/>
          <w:szCs w:val="20"/>
        </w:rPr>
        <w:t xml:space="preserve"> d’au moins 10.000.000 EUR est sollicité seront considérés. Les projets d’une taille plus modeste sont invités à introduire une </w:t>
      </w:r>
      <w:r w:rsidR="00F233C5">
        <w:rPr>
          <w:rFonts w:cstheme="minorHAnsi"/>
          <w:sz w:val="20"/>
          <w:szCs w:val="20"/>
        </w:rPr>
        <w:t xml:space="preserve">requête </w:t>
      </w:r>
      <w:r w:rsidRPr="001A793B">
        <w:rPr>
          <w:rFonts w:cstheme="minorHAnsi"/>
          <w:sz w:val="20"/>
          <w:szCs w:val="20"/>
        </w:rPr>
        <w:t>groupée</w:t>
      </w:r>
      <w:r w:rsidR="00CE636E">
        <w:rPr>
          <w:rFonts w:cstheme="minorHAnsi"/>
          <w:sz w:val="20"/>
          <w:szCs w:val="20"/>
        </w:rPr>
        <w:t xml:space="preserve"> de telle sorte </w:t>
      </w:r>
      <w:r w:rsidRPr="001A793B">
        <w:rPr>
          <w:rFonts w:cstheme="minorHAnsi"/>
          <w:sz w:val="20"/>
          <w:szCs w:val="20"/>
        </w:rPr>
        <w:t xml:space="preserve">que le projet dans son ensemble dépasse le </w:t>
      </w:r>
      <w:r w:rsidR="00FA15DF">
        <w:rPr>
          <w:rFonts w:cstheme="minorHAnsi"/>
          <w:sz w:val="20"/>
          <w:szCs w:val="20"/>
        </w:rPr>
        <w:t xml:space="preserve">seuil défini. </w:t>
      </w:r>
    </w:p>
    <w:p w14:paraId="6D79A1EE" w14:textId="77777777" w:rsidR="00397E64" w:rsidRPr="001A793B" w:rsidRDefault="00397E64" w:rsidP="001A793B">
      <w:pPr>
        <w:spacing w:after="0" w:line="276" w:lineRule="auto"/>
        <w:jc w:val="both"/>
        <w:rPr>
          <w:rFonts w:cstheme="minorHAnsi"/>
          <w:sz w:val="20"/>
          <w:szCs w:val="20"/>
        </w:rPr>
      </w:pPr>
    </w:p>
    <w:p w14:paraId="2FFF0040" w14:textId="6E461959" w:rsidR="007A3050" w:rsidRPr="00E5012C" w:rsidRDefault="00DC57E8" w:rsidP="001A793B">
      <w:pPr>
        <w:pStyle w:val="Paragraphedeliste"/>
        <w:numPr>
          <w:ilvl w:val="0"/>
          <w:numId w:val="10"/>
        </w:numPr>
        <w:spacing w:after="0" w:line="276" w:lineRule="auto"/>
        <w:jc w:val="both"/>
        <w:rPr>
          <w:rFonts w:cstheme="minorHAnsi"/>
          <w:b/>
          <w:bCs/>
          <w:sz w:val="24"/>
          <w:szCs w:val="24"/>
        </w:rPr>
      </w:pPr>
      <w:r w:rsidRPr="00E5012C">
        <w:rPr>
          <w:rFonts w:cstheme="minorHAnsi"/>
          <w:b/>
          <w:bCs/>
          <w:sz w:val="24"/>
          <w:szCs w:val="24"/>
        </w:rPr>
        <w:t xml:space="preserve">Quelle est la période couverte pour les projets ? </w:t>
      </w:r>
    </w:p>
    <w:p w14:paraId="12476F22" w14:textId="77777777" w:rsidR="00397E64" w:rsidRPr="001A793B" w:rsidRDefault="00397E64" w:rsidP="00397E64">
      <w:pPr>
        <w:pStyle w:val="Paragraphedeliste"/>
        <w:spacing w:after="0" w:line="276" w:lineRule="auto"/>
        <w:ind w:left="360"/>
        <w:jc w:val="both"/>
        <w:rPr>
          <w:rFonts w:cstheme="minorHAnsi"/>
          <w:b/>
          <w:bCs/>
          <w:sz w:val="20"/>
          <w:szCs w:val="20"/>
        </w:rPr>
      </w:pPr>
    </w:p>
    <w:p w14:paraId="24D1E0F4" w14:textId="6D6D7915" w:rsidR="00DC57E8" w:rsidRPr="001A793B" w:rsidRDefault="00AC7DD7" w:rsidP="001A793B">
      <w:pPr>
        <w:spacing w:after="0" w:line="276" w:lineRule="auto"/>
        <w:jc w:val="both"/>
        <w:rPr>
          <w:rFonts w:cstheme="minorHAnsi"/>
          <w:sz w:val="20"/>
          <w:szCs w:val="20"/>
        </w:rPr>
      </w:pPr>
      <w:r w:rsidRPr="001A793B">
        <w:rPr>
          <w:rFonts w:cstheme="minorHAnsi"/>
          <w:sz w:val="20"/>
          <w:szCs w:val="20"/>
        </w:rPr>
        <w:t>L</w:t>
      </w:r>
      <w:r w:rsidR="00DC57E8" w:rsidRPr="001A793B">
        <w:rPr>
          <w:rFonts w:cstheme="minorHAnsi"/>
          <w:sz w:val="20"/>
          <w:szCs w:val="20"/>
        </w:rPr>
        <w:t xml:space="preserve">es projets engagés à partir du 1er février 2020 et jusqu’au 31 août 2026 seront éligibles. </w:t>
      </w:r>
      <w:r w:rsidR="00851268" w:rsidRPr="001A793B">
        <w:rPr>
          <w:rFonts w:cstheme="minorHAnsi"/>
          <w:sz w:val="20"/>
          <w:szCs w:val="20"/>
        </w:rPr>
        <w:t>Exceptionnellement</w:t>
      </w:r>
      <w:r w:rsidR="00C561F0" w:rsidRPr="001A793B">
        <w:rPr>
          <w:rFonts w:cstheme="minorHAnsi"/>
          <w:sz w:val="20"/>
          <w:szCs w:val="20"/>
        </w:rPr>
        <w:t>, dans la mesure o</w:t>
      </w:r>
      <w:r w:rsidR="00E13974">
        <w:rPr>
          <w:rFonts w:cstheme="minorHAnsi"/>
          <w:sz w:val="20"/>
          <w:szCs w:val="20"/>
        </w:rPr>
        <w:t>ù</w:t>
      </w:r>
      <w:r w:rsidR="00C561F0" w:rsidRPr="001A793B">
        <w:rPr>
          <w:rFonts w:cstheme="minorHAnsi"/>
          <w:sz w:val="20"/>
          <w:szCs w:val="20"/>
        </w:rPr>
        <w:t xml:space="preserve"> un soutien financier autre </w:t>
      </w:r>
      <w:r w:rsidR="004679BB" w:rsidRPr="001A793B">
        <w:rPr>
          <w:rFonts w:cstheme="minorHAnsi"/>
          <w:sz w:val="20"/>
          <w:szCs w:val="20"/>
        </w:rPr>
        <w:t xml:space="preserve">pourra être </w:t>
      </w:r>
      <w:r w:rsidR="00AF60E8" w:rsidRPr="001A793B">
        <w:rPr>
          <w:rFonts w:cstheme="minorHAnsi"/>
          <w:sz w:val="20"/>
          <w:szCs w:val="20"/>
        </w:rPr>
        <w:t xml:space="preserve">garanti </w:t>
      </w:r>
      <w:r w:rsidR="00DC57E8" w:rsidRPr="001A793B">
        <w:rPr>
          <w:rFonts w:cstheme="minorHAnsi"/>
          <w:sz w:val="20"/>
          <w:szCs w:val="20"/>
        </w:rPr>
        <w:t xml:space="preserve">au-delà de la durée de vie de la </w:t>
      </w:r>
      <w:r w:rsidR="003467E8">
        <w:rPr>
          <w:rFonts w:cstheme="minorHAnsi"/>
          <w:sz w:val="20"/>
          <w:szCs w:val="20"/>
        </w:rPr>
        <w:t>f</w:t>
      </w:r>
      <w:r w:rsidR="002C0D6C">
        <w:rPr>
          <w:rFonts w:cstheme="minorHAnsi"/>
          <w:sz w:val="20"/>
          <w:szCs w:val="20"/>
        </w:rPr>
        <w:t>acilité pour la reprise et la résilience</w:t>
      </w:r>
      <w:r w:rsidR="003A4A76">
        <w:rPr>
          <w:rFonts w:cstheme="minorHAnsi"/>
          <w:sz w:val="20"/>
          <w:szCs w:val="20"/>
        </w:rPr>
        <w:t>,</w:t>
      </w:r>
      <w:r w:rsidR="00130CEB" w:rsidRPr="001A793B">
        <w:rPr>
          <w:rFonts w:cstheme="minorHAnsi"/>
          <w:sz w:val="20"/>
          <w:szCs w:val="20"/>
        </w:rPr>
        <w:t xml:space="preserve"> </w:t>
      </w:r>
      <w:r w:rsidR="00AF60E8" w:rsidRPr="001A793B">
        <w:rPr>
          <w:rFonts w:cstheme="minorHAnsi"/>
          <w:sz w:val="20"/>
          <w:szCs w:val="20"/>
        </w:rPr>
        <w:t xml:space="preserve">le projet pourrait </w:t>
      </w:r>
      <w:r w:rsidR="003A4A76">
        <w:rPr>
          <w:rFonts w:cstheme="minorHAnsi"/>
          <w:sz w:val="20"/>
          <w:szCs w:val="20"/>
        </w:rPr>
        <w:t xml:space="preserve">également </w:t>
      </w:r>
      <w:r w:rsidR="00AF60E8" w:rsidRPr="001A793B">
        <w:rPr>
          <w:rFonts w:cstheme="minorHAnsi"/>
          <w:sz w:val="20"/>
          <w:szCs w:val="20"/>
        </w:rPr>
        <w:t xml:space="preserve">être considéré. </w:t>
      </w:r>
    </w:p>
    <w:p w14:paraId="12BE50AF" w14:textId="0BEE2C71" w:rsidR="00205299" w:rsidRPr="001A793B" w:rsidRDefault="00E5012C" w:rsidP="00E5012C">
      <w:pPr>
        <w:pStyle w:val="Paragraphedeliste"/>
        <w:tabs>
          <w:tab w:val="left" w:pos="5580"/>
        </w:tabs>
        <w:spacing w:after="0" w:line="276" w:lineRule="auto"/>
        <w:ind w:left="0"/>
        <w:rPr>
          <w:rFonts w:cstheme="minorHAnsi"/>
          <w:sz w:val="20"/>
          <w:szCs w:val="20"/>
        </w:rPr>
      </w:pPr>
      <w:r>
        <w:rPr>
          <w:rFonts w:cstheme="minorHAnsi"/>
          <w:sz w:val="20"/>
          <w:szCs w:val="20"/>
        </w:rPr>
        <w:tab/>
      </w:r>
    </w:p>
    <w:p w14:paraId="56410E21" w14:textId="77EB13D7" w:rsidR="00690318" w:rsidRPr="00E5012C" w:rsidRDefault="00BD784D" w:rsidP="001A793B">
      <w:pPr>
        <w:pStyle w:val="Paragraphedeliste"/>
        <w:numPr>
          <w:ilvl w:val="0"/>
          <w:numId w:val="10"/>
        </w:numPr>
        <w:spacing w:after="0" w:line="276" w:lineRule="auto"/>
        <w:jc w:val="both"/>
        <w:rPr>
          <w:rFonts w:cstheme="minorHAnsi"/>
          <w:b/>
          <w:bCs/>
          <w:sz w:val="24"/>
          <w:szCs w:val="24"/>
        </w:rPr>
      </w:pPr>
      <w:r w:rsidRPr="00E5012C">
        <w:rPr>
          <w:rFonts w:cstheme="minorHAnsi"/>
          <w:b/>
          <w:bCs/>
          <w:sz w:val="24"/>
          <w:szCs w:val="24"/>
        </w:rPr>
        <w:t xml:space="preserve">Quels </w:t>
      </w:r>
      <w:r w:rsidR="00CD190D">
        <w:rPr>
          <w:rFonts w:cstheme="minorHAnsi"/>
          <w:b/>
          <w:bCs/>
          <w:sz w:val="24"/>
          <w:szCs w:val="24"/>
        </w:rPr>
        <w:t xml:space="preserve">sont les </w:t>
      </w:r>
      <w:r w:rsidRPr="00E5012C">
        <w:rPr>
          <w:rFonts w:cstheme="minorHAnsi"/>
          <w:b/>
          <w:bCs/>
          <w:sz w:val="24"/>
          <w:szCs w:val="24"/>
        </w:rPr>
        <w:t>types</w:t>
      </w:r>
      <w:r w:rsidR="00690318" w:rsidRPr="00E5012C">
        <w:rPr>
          <w:rFonts w:cstheme="minorHAnsi"/>
          <w:b/>
          <w:bCs/>
          <w:sz w:val="24"/>
          <w:szCs w:val="24"/>
        </w:rPr>
        <w:t xml:space="preserve"> de dépense</w:t>
      </w:r>
      <w:r w:rsidR="00CD190D">
        <w:rPr>
          <w:rFonts w:cstheme="minorHAnsi"/>
          <w:b/>
          <w:bCs/>
          <w:sz w:val="24"/>
          <w:szCs w:val="24"/>
        </w:rPr>
        <w:t>s</w:t>
      </w:r>
      <w:r w:rsidR="00690318" w:rsidRPr="00E5012C">
        <w:rPr>
          <w:rFonts w:cstheme="minorHAnsi"/>
          <w:b/>
          <w:bCs/>
          <w:sz w:val="24"/>
          <w:szCs w:val="24"/>
        </w:rPr>
        <w:t xml:space="preserve"> éligibles ? </w:t>
      </w:r>
    </w:p>
    <w:p w14:paraId="5940754D" w14:textId="77777777" w:rsidR="00E5012C" w:rsidRPr="001A793B" w:rsidRDefault="00E5012C" w:rsidP="00E5012C">
      <w:pPr>
        <w:pStyle w:val="Paragraphedeliste"/>
        <w:spacing w:after="0" w:line="276" w:lineRule="auto"/>
        <w:ind w:left="360"/>
        <w:jc w:val="both"/>
        <w:rPr>
          <w:rFonts w:cstheme="minorHAnsi"/>
          <w:b/>
          <w:bCs/>
          <w:sz w:val="20"/>
          <w:szCs w:val="20"/>
        </w:rPr>
      </w:pPr>
    </w:p>
    <w:p w14:paraId="18C7F5E9" w14:textId="397A2D31" w:rsidR="00690318" w:rsidRDefault="00690318" w:rsidP="001A793B">
      <w:pPr>
        <w:spacing w:after="0" w:line="276" w:lineRule="auto"/>
        <w:jc w:val="both"/>
        <w:rPr>
          <w:rFonts w:cstheme="minorHAnsi"/>
          <w:sz w:val="20"/>
          <w:szCs w:val="20"/>
        </w:rPr>
      </w:pPr>
      <w:r w:rsidRPr="001A793B">
        <w:rPr>
          <w:rFonts w:cstheme="minorHAnsi"/>
          <w:sz w:val="20"/>
          <w:szCs w:val="20"/>
        </w:rPr>
        <w:t>Tous les types de dépenses ne seront pas couverts par la</w:t>
      </w:r>
      <w:r w:rsidR="008F39CB">
        <w:rPr>
          <w:rFonts w:cstheme="minorHAnsi"/>
          <w:sz w:val="20"/>
          <w:szCs w:val="20"/>
        </w:rPr>
        <w:t xml:space="preserve"> </w:t>
      </w:r>
      <w:r w:rsidR="007E58AF">
        <w:rPr>
          <w:rFonts w:cstheme="minorHAnsi"/>
          <w:sz w:val="20"/>
          <w:szCs w:val="20"/>
        </w:rPr>
        <w:t>f</w:t>
      </w:r>
      <w:r w:rsidR="002C0D6C">
        <w:rPr>
          <w:rFonts w:cstheme="minorHAnsi"/>
          <w:sz w:val="20"/>
          <w:szCs w:val="20"/>
        </w:rPr>
        <w:t>acilité pour la reprise et la résilience</w:t>
      </w:r>
      <w:r w:rsidRPr="001A793B">
        <w:rPr>
          <w:rFonts w:cstheme="minorHAnsi"/>
          <w:sz w:val="20"/>
          <w:szCs w:val="20"/>
        </w:rPr>
        <w:t>. Les États membres devraient se concentrer sur la couverture des coûts qui sont de nature non récurrente</w:t>
      </w:r>
      <w:r w:rsidR="00F824E1" w:rsidRPr="001A793B">
        <w:rPr>
          <w:rStyle w:val="Appelnotedebasdep"/>
          <w:rFonts w:cstheme="minorHAnsi"/>
          <w:sz w:val="20"/>
          <w:szCs w:val="20"/>
        </w:rPr>
        <w:footnoteReference w:id="9"/>
      </w:r>
      <w:r w:rsidRPr="001A793B">
        <w:rPr>
          <w:rFonts w:cstheme="minorHAnsi"/>
          <w:sz w:val="20"/>
          <w:szCs w:val="20"/>
        </w:rPr>
        <w:t xml:space="preserve">. </w:t>
      </w:r>
    </w:p>
    <w:p w14:paraId="0778D88C" w14:textId="77777777" w:rsidR="00E5012C" w:rsidRPr="001A793B" w:rsidRDefault="00E5012C" w:rsidP="001A793B">
      <w:pPr>
        <w:spacing w:after="0" w:line="276" w:lineRule="auto"/>
        <w:jc w:val="both"/>
        <w:rPr>
          <w:rFonts w:cstheme="minorHAnsi"/>
          <w:sz w:val="20"/>
          <w:szCs w:val="20"/>
        </w:rPr>
      </w:pPr>
    </w:p>
    <w:p w14:paraId="326C0455" w14:textId="42181FBE" w:rsidR="00904378" w:rsidRDefault="003D7FBB" w:rsidP="001A793B">
      <w:pPr>
        <w:spacing w:after="0" w:line="276" w:lineRule="auto"/>
        <w:jc w:val="both"/>
        <w:rPr>
          <w:rFonts w:cstheme="minorHAnsi"/>
          <w:sz w:val="20"/>
          <w:szCs w:val="20"/>
        </w:rPr>
      </w:pPr>
      <w:r w:rsidRPr="001A793B">
        <w:rPr>
          <w:rFonts w:cstheme="minorHAnsi"/>
          <w:sz w:val="20"/>
          <w:szCs w:val="20"/>
        </w:rPr>
        <w:t xml:space="preserve">Les États membres devraient veiller à ce que tous les investissements soient conformes aux règles de l'UE en matière d'aides d'État et suivent toutes les procédures et règles régulières. </w:t>
      </w:r>
    </w:p>
    <w:p w14:paraId="32868E4C" w14:textId="77777777" w:rsidR="00E5012C" w:rsidRPr="001A793B" w:rsidRDefault="00E5012C" w:rsidP="001A793B">
      <w:pPr>
        <w:spacing w:after="0" w:line="276" w:lineRule="auto"/>
        <w:jc w:val="both"/>
        <w:rPr>
          <w:rFonts w:cstheme="minorHAnsi"/>
          <w:sz w:val="20"/>
          <w:szCs w:val="20"/>
        </w:rPr>
      </w:pPr>
    </w:p>
    <w:p w14:paraId="0077DAA3" w14:textId="2D7EA4EA" w:rsidR="003D7FBB" w:rsidRDefault="003D7FBB" w:rsidP="001A793B">
      <w:pPr>
        <w:spacing w:after="0" w:line="276" w:lineRule="auto"/>
        <w:jc w:val="both"/>
        <w:rPr>
          <w:rFonts w:cstheme="minorHAnsi"/>
          <w:sz w:val="20"/>
          <w:szCs w:val="20"/>
        </w:rPr>
      </w:pPr>
      <w:r w:rsidRPr="001A793B">
        <w:rPr>
          <w:rFonts w:cstheme="minorHAnsi"/>
          <w:sz w:val="20"/>
          <w:szCs w:val="20"/>
        </w:rPr>
        <w:t xml:space="preserve">Des dépenses déjà couvertes par d’autres programmes européens ne sont pas éligibles au financement dans le cadre de la </w:t>
      </w:r>
      <w:r w:rsidR="002C0D6C">
        <w:rPr>
          <w:rFonts w:cstheme="minorHAnsi"/>
          <w:sz w:val="20"/>
          <w:szCs w:val="20"/>
        </w:rPr>
        <w:t>facilité pour la reprise et la résilience</w:t>
      </w:r>
      <w:r w:rsidRPr="001A793B">
        <w:rPr>
          <w:rFonts w:cstheme="minorHAnsi"/>
          <w:sz w:val="20"/>
          <w:szCs w:val="20"/>
        </w:rPr>
        <w:t>.</w:t>
      </w:r>
    </w:p>
    <w:p w14:paraId="7D3F996F" w14:textId="77777777" w:rsidR="00E5012C" w:rsidRPr="001A793B" w:rsidRDefault="00E5012C" w:rsidP="001A793B">
      <w:pPr>
        <w:spacing w:after="0" w:line="276" w:lineRule="auto"/>
        <w:jc w:val="both"/>
        <w:rPr>
          <w:rFonts w:cstheme="minorHAnsi"/>
          <w:b/>
          <w:bCs/>
          <w:sz w:val="20"/>
          <w:szCs w:val="20"/>
        </w:rPr>
      </w:pPr>
    </w:p>
    <w:p w14:paraId="3C416FAB" w14:textId="66C228E6" w:rsidR="00690318" w:rsidRPr="00A240D6" w:rsidRDefault="00690318" w:rsidP="001A793B">
      <w:pPr>
        <w:pStyle w:val="Paragraphedeliste"/>
        <w:numPr>
          <w:ilvl w:val="0"/>
          <w:numId w:val="10"/>
        </w:numPr>
        <w:spacing w:after="0" w:line="276" w:lineRule="auto"/>
        <w:jc w:val="both"/>
        <w:rPr>
          <w:rFonts w:cstheme="minorHAnsi"/>
          <w:b/>
          <w:bCs/>
          <w:sz w:val="24"/>
          <w:szCs w:val="24"/>
        </w:rPr>
      </w:pPr>
      <w:r w:rsidRPr="00A240D6">
        <w:rPr>
          <w:rFonts w:cstheme="minorHAnsi"/>
          <w:b/>
          <w:bCs/>
          <w:sz w:val="24"/>
          <w:szCs w:val="24"/>
        </w:rPr>
        <w:t xml:space="preserve">Les projets internationaux sont-ils éligibles ? </w:t>
      </w:r>
    </w:p>
    <w:p w14:paraId="41A7F7AA" w14:textId="77777777" w:rsidR="00A240D6" w:rsidRPr="001A793B" w:rsidRDefault="00A240D6" w:rsidP="00A240D6">
      <w:pPr>
        <w:pStyle w:val="Paragraphedeliste"/>
        <w:spacing w:after="0" w:line="276" w:lineRule="auto"/>
        <w:ind w:left="360"/>
        <w:jc w:val="both"/>
        <w:rPr>
          <w:rFonts w:cstheme="minorHAnsi"/>
          <w:b/>
          <w:bCs/>
          <w:sz w:val="20"/>
          <w:szCs w:val="20"/>
        </w:rPr>
      </w:pPr>
    </w:p>
    <w:p w14:paraId="69A1D7BC" w14:textId="7ADC0EB0" w:rsidR="0034446F" w:rsidRPr="001A793B" w:rsidRDefault="00690318" w:rsidP="001A793B">
      <w:pPr>
        <w:spacing w:after="0" w:line="276" w:lineRule="auto"/>
        <w:jc w:val="both"/>
        <w:rPr>
          <w:rFonts w:cstheme="minorHAnsi"/>
          <w:sz w:val="20"/>
          <w:szCs w:val="20"/>
        </w:rPr>
      </w:pPr>
      <w:r w:rsidRPr="001A793B">
        <w:rPr>
          <w:rFonts w:cstheme="minorHAnsi"/>
          <w:sz w:val="20"/>
          <w:szCs w:val="20"/>
        </w:rPr>
        <w:t>Les projets transfrontaliers et multi-pays sont considérés par la Commission comme essentiels pour la relance et le renforcement de la résilience de l’Europe et revêtent une importance particulière pour les initiatives phares</w:t>
      </w:r>
      <w:r w:rsidR="00A84B41" w:rsidRPr="001A793B">
        <w:rPr>
          <w:rFonts w:cstheme="minorHAnsi"/>
          <w:sz w:val="20"/>
          <w:szCs w:val="20"/>
        </w:rPr>
        <w:t xml:space="preserve"> </w:t>
      </w:r>
      <w:r w:rsidRPr="001A793B">
        <w:rPr>
          <w:rFonts w:cstheme="minorHAnsi"/>
          <w:sz w:val="20"/>
          <w:szCs w:val="20"/>
        </w:rPr>
        <w:t xml:space="preserve">; ils ont le potentiel de mieux intégrer les chaînes de valeur et d'approfondir le marché unique. </w:t>
      </w:r>
    </w:p>
    <w:p w14:paraId="2D486C1D" w14:textId="77777777" w:rsidR="00683EEC" w:rsidRDefault="00683EEC" w:rsidP="001A793B">
      <w:pPr>
        <w:spacing w:after="0" w:line="276" w:lineRule="auto"/>
        <w:jc w:val="both"/>
        <w:rPr>
          <w:rFonts w:cstheme="minorHAnsi"/>
          <w:sz w:val="20"/>
          <w:szCs w:val="20"/>
        </w:rPr>
      </w:pPr>
    </w:p>
    <w:p w14:paraId="7C39DE59" w14:textId="693AE69D" w:rsidR="005A1DE3" w:rsidRPr="001A793B" w:rsidRDefault="00690318" w:rsidP="001A793B">
      <w:pPr>
        <w:spacing w:after="0" w:line="276" w:lineRule="auto"/>
        <w:jc w:val="both"/>
        <w:rPr>
          <w:rFonts w:cstheme="minorHAnsi"/>
          <w:b/>
          <w:bCs/>
          <w:sz w:val="20"/>
          <w:szCs w:val="20"/>
        </w:rPr>
      </w:pPr>
      <w:r w:rsidRPr="001A793B">
        <w:rPr>
          <w:rFonts w:cstheme="minorHAnsi"/>
          <w:sz w:val="20"/>
          <w:szCs w:val="20"/>
        </w:rPr>
        <w:t xml:space="preserve">Les États membres devraient coordonner la préparation de leurs plans avec les États membres qui seraient concernés par le projet transfrontalier ou multinational. </w:t>
      </w:r>
    </w:p>
    <w:p w14:paraId="1BFFEB18" w14:textId="77777777" w:rsidR="00690318" w:rsidRPr="001A793B" w:rsidRDefault="00690318" w:rsidP="001A793B">
      <w:pPr>
        <w:pStyle w:val="Paragraphedeliste"/>
        <w:spacing w:after="0" w:line="276" w:lineRule="auto"/>
        <w:rPr>
          <w:rFonts w:cstheme="minorHAnsi"/>
          <w:sz w:val="20"/>
          <w:szCs w:val="20"/>
        </w:rPr>
      </w:pPr>
    </w:p>
    <w:p w14:paraId="43EABE4D" w14:textId="53E131B3" w:rsidR="00690318" w:rsidRPr="00A240D6" w:rsidRDefault="00690318" w:rsidP="001A793B">
      <w:pPr>
        <w:pStyle w:val="Paragraphedeliste"/>
        <w:numPr>
          <w:ilvl w:val="0"/>
          <w:numId w:val="10"/>
        </w:numPr>
        <w:spacing w:after="0" w:line="276" w:lineRule="auto"/>
        <w:rPr>
          <w:rFonts w:cstheme="minorHAnsi"/>
          <w:b/>
          <w:bCs/>
          <w:sz w:val="24"/>
          <w:szCs w:val="24"/>
        </w:rPr>
      </w:pPr>
      <w:r w:rsidRPr="00A240D6">
        <w:rPr>
          <w:rFonts w:cstheme="minorHAnsi"/>
          <w:b/>
          <w:bCs/>
          <w:sz w:val="24"/>
          <w:szCs w:val="24"/>
        </w:rPr>
        <w:t xml:space="preserve">Quand et </w:t>
      </w:r>
      <w:r w:rsidR="00F53B5C">
        <w:rPr>
          <w:rFonts w:cstheme="minorHAnsi"/>
          <w:b/>
          <w:bCs/>
          <w:sz w:val="24"/>
          <w:szCs w:val="24"/>
        </w:rPr>
        <w:t xml:space="preserve">sous quelles conditions </w:t>
      </w:r>
      <w:r w:rsidRPr="00A240D6">
        <w:rPr>
          <w:rFonts w:cstheme="minorHAnsi"/>
          <w:b/>
          <w:bCs/>
          <w:sz w:val="24"/>
          <w:szCs w:val="24"/>
        </w:rPr>
        <w:t xml:space="preserve">les versements </w:t>
      </w:r>
      <w:r w:rsidR="00683EEC">
        <w:rPr>
          <w:rFonts w:cstheme="minorHAnsi"/>
          <w:b/>
          <w:bCs/>
          <w:sz w:val="24"/>
          <w:szCs w:val="24"/>
        </w:rPr>
        <w:t>auront-</w:t>
      </w:r>
      <w:r w:rsidR="00683EEC" w:rsidRPr="00A240D6">
        <w:rPr>
          <w:rFonts w:cstheme="minorHAnsi"/>
          <w:b/>
          <w:bCs/>
          <w:sz w:val="24"/>
          <w:szCs w:val="24"/>
        </w:rPr>
        <w:t xml:space="preserve"> </w:t>
      </w:r>
      <w:r w:rsidRPr="00A240D6">
        <w:rPr>
          <w:rFonts w:cstheme="minorHAnsi"/>
          <w:b/>
          <w:bCs/>
          <w:sz w:val="24"/>
          <w:szCs w:val="24"/>
        </w:rPr>
        <w:t xml:space="preserve">ils lieu ? </w:t>
      </w:r>
    </w:p>
    <w:p w14:paraId="0097EA02" w14:textId="77777777" w:rsidR="00A240D6" w:rsidRPr="001A793B" w:rsidRDefault="00A240D6" w:rsidP="00A240D6">
      <w:pPr>
        <w:pStyle w:val="Paragraphedeliste"/>
        <w:spacing w:after="0" w:line="276" w:lineRule="auto"/>
        <w:ind w:left="360"/>
        <w:rPr>
          <w:rFonts w:cstheme="minorHAnsi"/>
          <w:b/>
          <w:bCs/>
          <w:sz w:val="20"/>
          <w:szCs w:val="20"/>
        </w:rPr>
      </w:pPr>
    </w:p>
    <w:p w14:paraId="0E817113" w14:textId="0EAD83EB" w:rsidR="007C0930" w:rsidRDefault="00690318" w:rsidP="001A793B">
      <w:pPr>
        <w:spacing w:after="0" w:line="276" w:lineRule="auto"/>
        <w:jc w:val="both"/>
        <w:rPr>
          <w:rFonts w:cstheme="minorHAnsi"/>
          <w:sz w:val="20"/>
          <w:szCs w:val="20"/>
        </w:rPr>
      </w:pPr>
      <w:r w:rsidRPr="001A793B">
        <w:rPr>
          <w:rFonts w:cstheme="minorHAnsi"/>
          <w:sz w:val="20"/>
          <w:szCs w:val="20"/>
        </w:rPr>
        <w:t xml:space="preserve">Un préfinancement au titre de la facilité </w:t>
      </w:r>
      <w:r w:rsidR="004A2A93">
        <w:rPr>
          <w:rFonts w:cstheme="minorHAnsi"/>
          <w:sz w:val="20"/>
          <w:szCs w:val="20"/>
        </w:rPr>
        <w:t>devrait être</w:t>
      </w:r>
      <w:r w:rsidRPr="001A793B">
        <w:rPr>
          <w:rFonts w:cstheme="minorHAnsi"/>
          <w:sz w:val="20"/>
          <w:szCs w:val="20"/>
        </w:rPr>
        <w:t xml:space="preserve"> versé aux États membres sur demande en 2021. Son montant pourrait aller jusqu'à 10 % du soutien total prévu dans le plan pour la reprise et la résilience. </w:t>
      </w:r>
    </w:p>
    <w:p w14:paraId="4310AA83" w14:textId="77777777" w:rsidR="00683EEC" w:rsidRPr="001A793B" w:rsidRDefault="00683EEC" w:rsidP="001A793B">
      <w:pPr>
        <w:spacing w:after="0" w:line="276" w:lineRule="auto"/>
        <w:jc w:val="both"/>
        <w:rPr>
          <w:rFonts w:cstheme="minorHAnsi"/>
          <w:sz w:val="20"/>
          <w:szCs w:val="20"/>
        </w:rPr>
      </w:pPr>
    </w:p>
    <w:p w14:paraId="75EA5B3F" w14:textId="31AA8A8A" w:rsidR="00690318" w:rsidRDefault="00690318" w:rsidP="00A90521">
      <w:pPr>
        <w:tabs>
          <w:tab w:val="left" w:pos="3766"/>
        </w:tabs>
        <w:spacing w:after="0" w:line="276" w:lineRule="auto"/>
        <w:jc w:val="both"/>
        <w:rPr>
          <w:rFonts w:cstheme="minorHAnsi"/>
          <w:sz w:val="20"/>
          <w:szCs w:val="20"/>
        </w:rPr>
      </w:pPr>
      <w:r w:rsidRPr="001A793B">
        <w:rPr>
          <w:rFonts w:cstheme="minorHAnsi"/>
          <w:sz w:val="20"/>
          <w:szCs w:val="20"/>
        </w:rPr>
        <w:t>La libération des fonds est subordonnée au respect satisfaisant, par les États membres, des valeurs intermédiaires et des valeurs cibles correspondantes figurant dans leurs plans pour la reprise et la résilience.</w:t>
      </w:r>
    </w:p>
    <w:p w14:paraId="7691A480" w14:textId="77777777" w:rsidR="004A2A93" w:rsidRPr="001A793B" w:rsidRDefault="004A2A93" w:rsidP="001A793B">
      <w:pPr>
        <w:spacing w:after="0" w:line="276" w:lineRule="auto"/>
        <w:jc w:val="both"/>
        <w:rPr>
          <w:rFonts w:cstheme="minorHAnsi"/>
          <w:sz w:val="20"/>
          <w:szCs w:val="20"/>
        </w:rPr>
      </w:pPr>
    </w:p>
    <w:p w14:paraId="3ABB8748" w14:textId="396A688F" w:rsidR="00690318" w:rsidRDefault="00690318" w:rsidP="001A793B">
      <w:pPr>
        <w:spacing w:after="0" w:line="276" w:lineRule="auto"/>
        <w:jc w:val="both"/>
        <w:rPr>
          <w:rFonts w:cstheme="minorHAnsi"/>
          <w:sz w:val="20"/>
          <w:szCs w:val="20"/>
        </w:rPr>
      </w:pPr>
      <w:r w:rsidRPr="001A793B">
        <w:rPr>
          <w:rFonts w:cstheme="minorHAnsi"/>
          <w:sz w:val="20"/>
          <w:szCs w:val="20"/>
        </w:rPr>
        <w:t>L'État membre présentera à la Commission une demande de versement du soutien financier lorsque les valeurs intermédiaires et les valeurs cibles convenues pertinentes figurant dans son plan pour la reprise et la résilience auront été atteintes. La Commission préparera une évaluation et demandera l'avis du comité économique et financier sur le fait de savoir si les valeurs intermédiaires et les valeurs cibles ont été atteintes de manière satisfaisante. Cet avis devrait être rendu dans un délai de quatre semaines à compter de la réception de l'évaluation préliminaire de la Commission.</w:t>
      </w:r>
    </w:p>
    <w:p w14:paraId="4239FDA8" w14:textId="77777777" w:rsidR="004A26AB" w:rsidRPr="001A793B" w:rsidRDefault="004A26AB" w:rsidP="001A793B">
      <w:pPr>
        <w:spacing w:after="0" w:line="276" w:lineRule="auto"/>
        <w:jc w:val="both"/>
        <w:rPr>
          <w:rFonts w:cstheme="minorHAnsi"/>
          <w:sz w:val="20"/>
          <w:szCs w:val="20"/>
        </w:rPr>
      </w:pPr>
    </w:p>
    <w:p w14:paraId="4741B7B0" w14:textId="45C4E95A" w:rsidR="00690318" w:rsidRDefault="00690318" w:rsidP="001A793B">
      <w:pPr>
        <w:spacing w:after="0" w:line="276" w:lineRule="auto"/>
        <w:jc w:val="both"/>
        <w:rPr>
          <w:rFonts w:cstheme="minorHAnsi"/>
          <w:sz w:val="20"/>
          <w:szCs w:val="20"/>
        </w:rPr>
      </w:pPr>
      <w:r w:rsidRPr="001A793B">
        <w:rPr>
          <w:rFonts w:cstheme="minorHAnsi"/>
          <w:sz w:val="20"/>
          <w:szCs w:val="20"/>
        </w:rPr>
        <w:t>Dans des circonstances exceptionnelles, lorsqu'un ou plusieurs États membres estiment qu'il existe des écarts importants par rapport au respect satisfaisant des valeurs intermédiaires et des valeurs cibles pertinentes dans un autre État membre, ils peuvent demander au président du Conseil européen de saisir le prochain Conseil européen de la question.</w:t>
      </w:r>
    </w:p>
    <w:p w14:paraId="2E38FAF0" w14:textId="77777777" w:rsidR="004A26AB" w:rsidRPr="001A793B" w:rsidRDefault="004A26AB" w:rsidP="001A793B">
      <w:pPr>
        <w:spacing w:after="0" w:line="276" w:lineRule="auto"/>
        <w:jc w:val="both"/>
        <w:rPr>
          <w:rFonts w:cstheme="minorHAnsi"/>
          <w:sz w:val="20"/>
          <w:szCs w:val="20"/>
        </w:rPr>
      </w:pPr>
    </w:p>
    <w:p w14:paraId="49C23168" w14:textId="77777777" w:rsidR="00690318" w:rsidRPr="001A793B" w:rsidRDefault="00690318" w:rsidP="001A793B">
      <w:pPr>
        <w:spacing w:after="0" w:line="276" w:lineRule="auto"/>
        <w:jc w:val="both"/>
        <w:rPr>
          <w:rFonts w:cstheme="minorHAnsi"/>
          <w:sz w:val="20"/>
          <w:szCs w:val="20"/>
        </w:rPr>
      </w:pPr>
      <w:r w:rsidRPr="001A793B">
        <w:rPr>
          <w:rFonts w:cstheme="minorHAnsi"/>
          <w:sz w:val="20"/>
          <w:szCs w:val="20"/>
        </w:rPr>
        <w:t>Si l'État membre n'a pas atteint les valeurs intermédiaires et les valeurs cibles de manière satisfaisante, la Commission suspendra tout ou partie de la contribution financière qui lui est accordée.</w:t>
      </w:r>
    </w:p>
    <w:p w14:paraId="1849E151" w14:textId="77777777" w:rsidR="004A26AB" w:rsidRDefault="004A26AB" w:rsidP="001A793B">
      <w:pPr>
        <w:spacing w:after="0" w:line="276" w:lineRule="auto"/>
        <w:jc w:val="both"/>
        <w:rPr>
          <w:rFonts w:cstheme="minorHAnsi"/>
          <w:sz w:val="20"/>
          <w:szCs w:val="20"/>
        </w:rPr>
      </w:pPr>
    </w:p>
    <w:p w14:paraId="39EE361A" w14:textId="5AFF897A" w:rsidR="00690318" w:rsidRPr="001A793B" w:rsidRDefault="00690318" w:rsidP="001A793B">
      <w:pPr>
        <w:spacing w:after="0" w:line="276" w:lineRule="auto"/>
        <w:jc w:val="both"/>
        <w:rPr>
          <w:rFonts w:cstheme="minorHAnsi"/>
          <w:sz w:val="20"/>
          <w:szCs w:val="20"/>
        </w:rPr>
      </w:pPr>
      <w:r w:rsidRPr="001A793B">
        <w:rPr>
          <w:rFonts w:cstheme="minorHAnsi"/>
          <w:sz w:val="20"/>
          <w:szCs w:val="20"/>
        </w:rPr>
        <w:t>La Cour des comptes aura la possibilité de réaliser des audits sur l'utilisation des fonds.</w:t>
      </w:r>
    </w:p>
    <w:p w14:paraId="029E5CB0" w14:textId="77777777" w:rsidR="00690318" w:rsidRPr="001A793B" w:rsidRDefault="00690318" w:rsidP="001A793B">
      <w:pPr>
        <w:spacing w:after="0" w:line="276" w:lineRule="auto"/>
        <w:ind w:left="720"/>
        <w:jc w:val="both"/>
        <w:rPr>
          <w:rFonts w:cstheme="minorHAnsi"/>
          <w:sz w:val="20"/>
          <w:szCs w:val="20"/>
        </w:rPr>
      </w:pPr>
    </w:p>
    <w:p w14:paraId="5A1DFC72" w14:textId="5EF1A09E" w:rsidR="00CB580B" w:rsidRPr="001A793B" w:rsidRDefault="00690318" w:rsidP="001A793B">
      <w:pPr>
        <w:spacing w:after="0" w:line="276" w:lineRule="auto"/>
        <w:jc w:val="both"/>
        <w:rPr>
          <w:rFonts w:cstheme="minorHAnsi"/>
          <w:sz w:val="20"/>
          <w:szCs w:val="20"/>
        </w:rPr>
      </w:pPr>
      <w:r w:rsidRPr="001A793B">
        <w:rPr>
          <w:rFonts w:cstheme="minorHAnsi"/>
          <w:sz w:val="20"/>
          <w:szCs w:val="20"/>
        </w:rPr>
        <w:t xml:space="preserve">Les paiements auront lieu jusqu’au 31 décembre 2026. </w:t>
      </w:r>
    </w:p>
    <w:p w14:paraId="0173876F" w14:textId="1D150DA5" w:rsidR="00233451" w:rsidRDefault="00233451" w:rsidP="001A793B">
      <w:pPr>
        <w:spacing w:after="0" w:line="276" w:lineRule="auto"/>
        <w:jc w:val="both"/>
        <w:rPr>
          <w:rFonts w:cstheme="minorHAnsi"/>
          <w:sz w:val="20"/>
          <w:szCs w:val="20"/>
        </w:rPr>
      </w:pPr>
    </w:p>
    <w:p w14:paraId="788665C5" w14:textId="176B6778" w:rsidR="00A91515" w:rsidRDefault="00F8292B" w:rsidP="00703F0E">
      <w:pPr>
        <w:pStyle w:val="Paragraphedeliste"/>
        <w:numPr>
          <w:ilvl w:val="0"/>
          <w:numId w:val="10"/>
        </w:numPr>
        <w:spacing w:after="0" w:line="276" w:lineRule="auto"/>
        <w:rPr>
          <w:rFonts w:cstheme="minorHAnsi"/>
          <w:b/>
          <w:bCs/>
          <w:sz w:val="24"/>
          <w:szCs w:val="24"/>
        </w:rPr>
      </w:pPr>
      <w:r>
        <w:rPr>
          <w:rFonts w:cstheme="minorHAnsi"/>
          <w:b/>
          <w:bCs/>
          <w:sz w:val="24"/>
          <w:szCs w:val="24"/>
        </w:rPr>
        <w:t>C</w:t>
      </w:r>
      <w:r w:rsidR="00A91515">
        <w:rPr>
          <w:rFonts w:cstheme="minorHAnsi"/>
          <w:b/>
          <w:bCs/>
          <w:sz w:val="24"/>
          <w:szCs w:val="24"/>
        </w:rPr>
        <w:t xml:space="preserve">omment définir les </w:t>
      </w:r>
      <w:r w:rsidR="00D4784A">
        <w:rPr>
          <w:rFonts w:cstheme="minorHAnsi"/>
          <w:b/>
          <w:bCs/>
          <w:sz w:val="24"/>
          <w:szCs w:val="24"/>
        </w:rPr>
        <w:t>valeurs intermédiaires et valeurs cibles</w:t>
      </w:r>
      <w:r w:rsidR="00A91515">
        <w:rPr>
          <w:rFonts w:cstheme="minorHAnsi"/>
          <w:b/>
          <w:bCs/>
          <w:sz w:val="24"/>
          <w:szCs w:val="24"/>
        </w:rPr>
        <w:t xml:space="preserve"> du projet ? </w:t>
      </w:r>
    </w:p>
    <w:p w14:paraId="32C59AA0" w14:textId="15DDAA89" w:rsidR="00A91515" w:rsidRDefault="00A91515" w:rsidP="00A91515">
      <w:pPr>
        <w:spacing w:after="0" w:line="276" w:lineRule="auto"/>
        <w:rPr>
          <w:rFonts w:cstheme="minorHAnsi"/>
          <w:b/>
          <w:bCs/>
          <w:sz w:val="24"/>
          <w:szCs w:val="24"/>
        </w:rPr>
      </w:pPr>
    </w:p>
    <w:p w14:paraId="7A8B8E11" w14:textId="6B9F0720" w:rsidR="00FF0325" w:rsidRPr="00FF0325" w:rsidRDefault="00653B61" w:rsidP="00713B96">
      <w:pPr>
        <w:spacing w:after="0" w:line="276" w:lineRule="auto"/>
        <w:jc w:val="both"/>
        <w:rPr>
          <w:rFonts w:cstheme="minorHAnsi"/>
          <w:sz w:val="20"/>
          <w:szCs w:val="20"/>
        </w:rPr>
      </w:pPr>
      <w:r>
        <w:rPr>
          <w:rFonts w:cstheme="minorHAnsi"/>
          <w:sz w:val="20"/>
          <w:szCs w:val="20"/>
        </w:rPr>
        <w:t xml:space="preserve">Les </w:t>
      </w:r>
      <w:r w:rsidR="00E22536">
        <w:rPr>
          <w:rFonts w:cstheme="minorHAnsi"/>
          <w:sz w:val="20"/>
          <w:szCs w:val="20"/>
        </w:rPr>
        <w:t>valeurs</w:t>
      </w:r>
      <w:r w:rsidR="00FF0325" w:rsidRPr="00FF0325">
        <w:rPr>
          <w:rFonts w:cstheme="minorHAnsi"/>
          <w:sz w:val="20"/>
          <w:szCs w:val="20"/>
        </w:rPr>
        <w:t xml:space="preserve"> </w:t>
      </w:r>
      <w:r w:rsidR="005E65C1">
        <w:rPr>
          <w:rFonts w:cstheme="minorHAnsi"/>
          <w:sz w:val="20"/>
          <w:szCs w:val="20"/>
        </w:rPr>
        <w:t>intermédiaires</w:t>
      </w:r>
      <w:r w:rsidR="00FD51C6">
        <w:rPr>
          <w:rFonts w:cstheme="minorHAnsi"/>
          <w:sz w:val="20"/>
          <w:szCs w:val="20"/>
        </w:rPr>
        <w:t xml:space="preserve"> </w:t>
      </w:r>
      <w:r w:rsidR="00CF55A7">
        <w:rPr>
          <w:rFonts w:cstheme="minorHAnsi"/>
          <w:sz w:val="20"/>
          <w:szCs w:val="20"/>
        </w:rPr>
        <w:t>et</w:t>
      </w:r>
      <w:r w:rsidR="00E22536">
        <w:rPr>
          <w:rFonts w:cstheme="minorHAnsi"/>
          <w:sz w:val="20"/>
          <w:szCs w:val="20"/>
        </w:rPr>
        <w:t xml:space="preserve"> valeurs cibles</w:t>
      </w:r>
      <w:r w:rsidR="00E73D38">
        <w:rPr>
          <w:rStyle w:val="Appelnotedebasdep"/>
          <w:rFonts w:cstheme="minorHAnsi"/>
          <w:sz w:val="20"/>
          <w:szCs w:val="20"/>
        </w:rPr>
        <w:footnoteReference w:id="10"/>
      </w:r>
      <w:r w:rsidR="005E65C1">
        <w:rPr>
          <w:rFonts w:cstheme="minorHAnsi"/>
          <w:sz w:val="20"/>
          <w:szCs w:val="20"/>
        </w:rPr>
        <w:t xml:space="preserve"> </w:t>
      </w:r>
      <w:r>
        <w:rPr>
          <w:rFonts w:cstheme="minorHAnsi"/>
          <w:sz w:val="20"/>
          <w:szCs w:val="20"/>
        </w:rPr>
        <w:t>doivent permettre de mesurer les</w:t>
      </w:r>
      <w:r w:rsidR="00FF0325" w:rsidRPr="00FF0325">
        <w:rPr>
          <w:rFonts w:cstheme="minorHAnsi"/>
          <w:sz w:val="20"/>
          <w:szCs w:val="20"/>
        </w:rPr>
        <w:t xml:space="preserve"> progrès vers la</w:t>
      </w:r>
      <w:r w:rsidR="00AB4E4D">
        <w:rPr>
          <w:rFonts w:cstheme="minorHAnsi"/>
          <w:sz w:val="20"/>
          <w:szCs w:val="20"/>
        </w:rPr>
        <w:t xml:space="preserve"> </w:t>
      </w:r>
      <w:r w:rsidR="00FF0325" w:rsidRPr="00FF0325">
        <w:rPr>
          <w:rFonts w:cstheme="minorHAnsi"/>
          <w:sz w:val="20"/>
          <w:szCs w:val="20"/>
        </w:rPr>
        <w:t>réalisation d'une réforme ou d'un investissement, en précisant une étape à atteindre à une certaine date.</w:t>
      </w:r>
      <w:r w:rsidR="00AB4E4D">
        <w:rPr>
          <w:rFonts w:cstheme="minorHAnsi"/>
          <w:sz w:val="20"/>
          <w:szCs w:val="20"/>
        </w:rPr>
        <w:t xml:space="preserve"> </w:t>
      </w:r>
      <w:r w:rsidR="003E7DDF">
        <w:rPr>
          <w:rFonts w:cstheme="minorHAnsi"/>
          <w:sz w:val="20"/>
          <w:szCs w:val="20"/>
        </w:rPr>
        <w:t xml:space="preserve">Elles doivent </w:t>
      </w:r>
      <w:r w:rsidR="003E7DDF" w:rsidRPr="00FF0325">
        <w:rPr>
          <w:rFonts w:cstheme="minorHAnsi"/>
          <w:sz w:val="20"/>
          <w:szCs w:val="20"/>
        </w:rPr>
        <w:t>refléter</w:t>
      </w:r>
      <w:r w:rsidR="003E7DDF">
        <w:rPr>
          <w:rFonts w:cstheme="minorHAnsi"/>
          <w:sz w:val="20"/>
          <w:szCs w:val="20"/>
        </w:rPr>
        <w:t xml:space="preserve"> la </w:t>
      </w:r>
      <w:r w:rsidR="003E7DDF" w:rsidRPr="00FF0325">
        <w:rPr>
          <w:rFonts w:cstheme="minorHAnsi"/>
          <w:sz w:val="20"/>
          <w:szCs w:val="20"/>
        </w:rPr>
        <w:t>mise en œuvre des réformes et des investissements, et donc être opérationnel</w:t>
      </w:r>
      <w:r w:rsidR="003E7DDF">
        <w:rPr>
          <w:rFonts w:cstheme="minorHAnsi"/>
          <w:sz w:val="20"/>
          <w:szCs w:val="20"/>
        </w:rPr>
        <w:t>les</w:t>
      </w:r>
      <w:r w:rsidR="003E7DDF" w:rsidRPr="00FF0325">
        <w:rPr>
          <w:rFonts w:cstheme="minorHAnsi"/>
          <w:sz w:val="20"/>
          <w:szCs w:val="20"/>
        </w:rPr>
        <w:t>.</w:t>
      </w:r>
      <w:r w:rsidR="003E7DDF">
        <w:rPr>
          <w:rFonts w:cstheme="minorHAnsi"/>
          <w:sz w:val="20"/>
          <w:szCs w:val="20"/>
        </w:rPr>
        <w:t xml:space="preserve"> </w:t>
      </w:r>
    </w:p>
    <w:p w14:paraId="32B2CDB7" w14:textId="77777777" w:rsidR="00AB4E4D" w:rsidRDefault="00AB4E4D" w:rsidP="00713B96">
      <w:pPr>
        <w:spacing w:after="0" w:line="276" w:lineRule="auto"/>
        <w:jc w:val="both"/>
        <w:rPr>
          <w:rFonts w:cstheme="minorHAnsi"/>
          <w:sz w:val="20"/>
          <w:szCs w:val="20"/>
        </w:rPr>
      </w:pPr>
    </w:p>
    <w:p w14:paraId="5F14A56D" w14:textId="439FFC5D" w:rsidR="00E51DB2" w:rsidRDefault="006757F8" w:rsidP="00713B96">
      <w:pPr>
        <w:spacing w:after="0" w:line="276" w:lineRule="auto"/>
        <w:jc w:val="both"/>
        <w:rPr>
          <w:rFonts w:cstheme="minorHAnsi"/>
          <w:sz w:val="20"/>
          <w:szCs w:val="20"/>
        </w:rPr>
      </w:pPr>
      <w:r>
        <w:rPr>
          <w:rFonts w:cstheme="minorHAnsi"/>
          <w:sz w:val="20"/>
          <w:szCs w:val="20"/>
        </w:rPr>
        <w:t xml:space="preserve">Les valeurs cibles sont </w:t>
      </w:r>
      <w:r w:rsidR="00AB1A72">
        <w:rPr>
          <w:rFonts w:cstheme="minorHAnsi"/>
          <w:sz w:val="20"/>
          <w:szCs w:val="20"/>
        </w:rPr>
        <w:t xml:space="preserve">a priori </w:t>
      </w:r>
      <w:r w:rsidR="00CF55A7">
        <w:rPr>
          <w:rFonts w:cstheme="minorHAnsi"/>
          <w:sz w:val="20"/>
          <w:szCs w:val="20"/>
        </w:rPr>
        <w:t>quantitatives</w:t>
      </w:r>
      <w:r w:rsidR="00E73D38">
        <w:rPr>
          <w:rFonts w:cstheme="minorHAnsi"/>
          <w:sz w:val="20"/>
          <w:szCs w:val="20"/>
        </w:rPr>
        <w:t> </w:t>
      </w:r>
      <w:r w:rsidR="00B9741A">
        <w:rPr>
          <w:rFonts w:cstheme="minorHAnsi"/>
          <w:sz w:val="20"/>
          <w:szCs w:val="20"/>
        </w:rPr>
        <w:t>-</w:t>
      </w:r>
      <w:r w:rsidR="00CF55A7">
        <w:rPr>
          <w:rFonts w:cstheme="minorHAnsi"/>
          <w:sz w:val="20"/>
          <w:szCs w:val="20"/>
        </w:rPr>
        <w:t xml:space="preserve"> </w:t>
      </w:r>
      <w:r w:rsidR="00FD51C6">
        <w:rPr>
          <w:rFonts w:cstheme="minorHAnsi"/>
          <w:sz w:val="20"/>
          <w:szCs w:val="20"/>
        </w:rPr>
        <w:t>fondées sur</w:t>
      </w:r>
      <w:r w:rsidR="00FF0325" w:rsidRPr="00FF0325">
        <w:rPr>
          <w:rFonts w:cstheme="minorHAnsi"/>
          <w:sz w:val="20"/>
          <w:szCs w:val="20"/>
        </w:rPr>
        <w:t xml:space="preserve"> un indicateur </w:t>
      </w:r>
      <w:r w:rsidR="00B578EB">
        <w:rPr>
          <w:rFonts w:cstheme="minorHAnsi"/>
          <w:sz w:val="20"/>
          <w:szCs w:val="20"/>
        </w:rPr>
        <w:t xml:space="preserve">spécifique et mesurable </w:t>
      </w:r>
      <w:r w:rsidR="00FF0325" w:rsidRPr="00FF0325">
        <w:rPr>
          <w:rFonts w:cstheme="minorHAnsi"/>
          <w:sz w:val="20"/>
          <w:szCs w:val="20"/>
        </w:rPr>
        <w:t>(</w:t>
      </w:r>
      <w:r w:rsidR="00E77F6C">
        <w:rPr>
          <w:rFonts w:cstheme="minorHAnsi"/>
          <w:sz w:val="20"/>
          <w:szCs w:val="20"/>
        </w:rPr>
        <w:t xml:space="preserve">surface concernée, </w:t>
      </w:r>
      <w:r w:rsidR="00FF0325" w:rsidRPr="00FF0325">
        <w:rPr>
          <w:rFonts w:cstheme="minorHAnsi"/>
          <w:sz w:val="20"/>
          <w:szCs w:val="20"/>
        </w:rPr>
        <w:t>nombre de bénéficiaires, etc.)</w:t>
      </w:r>
      <w:r w:rsidR="00E51DB2">
        <w:rPr>
          <w:rFonts w:cstheme="minorHAnsi"/>
          <w:sz w:val="20"/>
          <w:szCs w:val="20"/>
        </w:rPr>
        <w:t>.</w:t>
      </w:r>
      <w:r w:rsidR="00E51DB2" w:rsidRPr="00E51DB2">
        <w:rPr>
          <w:rFonts w:cstheme="minorHAnsi"/>
          <w:sz w:val="20"/>
          <w:szCs w:val="20"/>
        </w:rPr>
        <w:t xml:space="preserve"> </w:t>
      </w:r>
    </w:p>
    <w:p w14:paraId="5F2D4783" w14:textId="53B755C1" w:rsidR="00E51DB2" w:rsidRDefault="00E51DB2" w:rsidP="00713B96">
      <w:pPr>
        <w:tabs>
          <w:tab w:val="left" w:pos="970"/>
        </w:tabs>
        <w:spacing w:after="0" w:line="276" w:lineRule="auto"/>
        <w:jc w:val="both"/>
        <w:rPr>
          <w:rFonts w:cstheme="minorHAnsi"/>
          <w:sz w:val="20"/>
          <w:szCs w:val="20"/>
        </w:rPr>
      </w:pPr>
      <w:r>
        <w:rPr>
          <w:rFonts w:cstheme="minorHAnsi"/>
          <w:sz w:val="20"/>
          <w:szCs w:val="20"/>
        </w:rPr>
        <w:tab/>
      </w:r>
    </w:p>
    <w:p w14:paraId="6A5C45BF" w14:textId="6BA15B3E" w:rsidR="00A91515" w:rsidRDefault="00E51DB2" w:rsidP="00713B96">
      <w:pPr>
        <w:spacing w:after="0" w:line="276" w:lineRule="auto"/>
        <w:jc w:val="both"/>
        <w:rPr>
          <w:rFonts w:cstheme="minorHAnsi"/>
          <w:sz w:val="20"/>
          <w:szCs w:val="20"/>
        </w:rPr>
      </w:pPr>
      <w:r>
        <w:rPr>
          <w:rFonts w:cstheme="minorHAnsi"/>
          <w:sz w:val="20"/>
          <w:szCs w:val="20"/>
        </w:rPr>
        <w:t>Les valeurs intermédiaires sont plutôt</w:t>
      </w:r>
      <w:r w:rsidR="00E77F6C">
        <w:rPr>
          <w:rFonts w:cstheme="minorHAnsi"/>
          <w:sz w:val="20"/>
          <w:szCs w:val="20"/>
        </w:rPr>
        <w:t xml:space="preserve"> qualitative </w:t>
      </w:r>
      <w:r w:rsidR="00B9741A">
        <w:rPr>
          <w:rFonts w:cstheme="minorHAnsi"/>
          <w:sz w:val="20"/>
          <w:szCs w:val="20"/>
        </w:rPr>
        <w:t>-</w:t>
      </w:r>
      <w:r w:rsidR="00E77F6C">
        <w:rPr>
          <w:rFonts w:cstheme="minorHAnsi"/>
          <w:sz w:val="20"/>
          <w:szCs w:val="20"/>
        </w:rPr>
        <w:t xml:space="preserve"> </w:t>
      </w:r>
      <w:r w:rsidR="00715061">
        <w:rPr>
          <w:rFonts w:cstheme="minorHAnsi"/>
          <w:sz w:val="20"/>
          <w:szCs w:val="20"/>
        </w:rPr>
        <w:t>fondée</w:t>
      </w:r>
      <w:r w:rsidR="00B578EB">
        <w:rPr>
          <w:rFonts w:cstheme="minorHAnsi"/>
          <w:sz w:val="20"/>
          <w:szCs w:val="20"/>
        </w:rPr>
        <w:t>s</w:t>
      </w:r>
      <w:r w:rsidR="00715061">
        <w:rPr>
          <w:rFonts w:cstheme="minorHAnsi"/>
          <w:sz w:val="20"/>
          <w:szCs w:val="20"/>
        </w:rPr>
        <w:t xml:space="preserve"> sur un événement vérifiable </w:t>
      </w:r>
      <w:r w:rsidR="00715061" w:rsidRPr="00FF0325">
        <w:rPr>
          <w:rFonts w:cstheme="minorHAnsi"/>
          <w:sz w:val="20"/>
          <w:szCs w:val="20"/>
        </w:rPr>
        <w:t>(législation adoptée, opérationnalisation complète d</w:t>
      </w:r>
      <w:r w:rsidR="00FD5628">
        <w:rPr>
          <w:rFonts w:cstheme="minorHAnsi"/>
          <w:sz w:val="20"/>
          <w:szCs w:val="20"/>
        </w:rPr>
        <w:t xml:space="preserve">u système </w:t>
      </w:r>
      <w:r w:rsidR="00715061" w:rsidRPr="00FF0325">
        <w:rPr>
          <w:rFonts w:cstheme="minorHAnsi"/>
          <w:sz w:val="20"/>
          <w:szCs w:val="20"/>
        </w:rPr>
        <w:t>informatique, etc.)</w:t>
      </w:r>
      <w:r w:rsidR="00B9741A">
        <w:rPr>
          <w:rFonts w:cstheme="minorHAnsi"/>
          <w:sz w:val="20"/>
          <w:szCs w:val="20"/>
        </w:rPr>
        <w:t>.</w:t>
      </w:r>
    </w:p>
    <w:p w14:paraId="359CE222" w14:textId="77777777" w:rsidR="000056CC" w:rsidRDefault="000056CC" w:rsidP="00713B96">
      <w:pPr>
        <w:spacing w:after="0" w:line="276" w:lineRule="auto"/>
        <w:jc w:val="both"/>
        <w:rPr>
          <w:rFonts w:cstheme="minorHAnsi"/>
          <w:sz w:val="20"/>
          <w:szCs w:val="20"/>
        </w:rPr>
      </w:pPr>
    </w:p>
    <w:p w14:paraId="0A15150B" w14:textId="58310E7F" w:rsidR="003A7DD9" w:rsidRDefault="00BB52C5" w:rsidP="00713B96">
      <w:pPr>
        <w:spacing w:after="0" w:line="276" w:lineRule="auto"/>
        <w:jc w:val="both"/>
        <w:rPr>
          <w:rFonts w:cstheme="minorHAnsi"/>
          <w:sz w:val="20"/>
          <w:szCs w:val="20"/>
        </w:rPr>
      </w:pPr>
      <w:r>
        <w:rPr>
          <w:rFonts w:cstheme="minorHAnsi"/>
          <w:sz w:val="20"/>
          <w:szCs w:val="20"/>
        </w:rPr>
        <w:t>C</w:t>
      </w:r>
      <w:r w:rsidR="000056CC">
        <w:rPr>
          <w:rFonts w:cstheme="minorHAnsi"/>
          <w:sz w:val="20"/>
          <w:szCs w:val="20"/>
        </w:rPr>
        <w:t>es valeurs devrai</w:t>
      </w:r>
      <w:r>
        <w:rPr>
          <w:rFonts w:cstheme="minorHAnsi"/>
          <w:sz w:val="20"/>
          <w:szCs w:val="20"/>
        </w:rPr>
        <w:t>en</w:t>
      </w:r>
      <w:r w:rsidR="000056CC">
        <w:rPr>
          <w:rFonts w:cstheme="minorHAnsi"/>
          <w:sz w:val="20"/>
          <w:szCs w:val="20"/>
        </w:rPr>
        <w:t>t</w:t>
      </w:r>
      <w:r w:rsidR="00573883">
        <w:rPr>
          <w:rFonts w:cstheme="minorHAnsi"/>
          <w:sz w:val="20"/>
          <w:szCs w:val="20"/>
        </w:rPr>
        <w:t xml:space="preserve"> satisfaire au </w:t>
      </w:r>
      <w:r w:rsidR="000056CC" w:rsidRPr="00965720">
        <w:rPr>
          <w:rFonts w:cstheme="minorHAnsi"/>
          <w:sz w:val="20"/>
          <w:szCs w:val="20"/>
        </w:rPr>
        <w:t xml:space="preserve">principe </w:t>
      </w:r>
      <w:r w:rsidR="000056CC">
        <w:rPr>
          <w:rFonts w:cstheme="minorHAnsi"/>
          <w:sz w:val="20"/>
          <w:szCs w:val="20"/>
        </w:rPr>
        <w:t>« </w:t>
      </w:r>
      <w:r w:rsidR="000056CC" w:rsidRPr="00965720">
        <w:rPr>
          <w:rFonts w:cstheme="minorHAnsi"/>
          <w:sz w:val="20"/>
          <w:szCs w:val="20"/>
        </w:rPr>
        <w:t>SMART</w:t>
      </w:r>
      <w:r w:rsidR="000056CC">
        <w:rPr>
          <w:rFonts w:cstheme="minorHAnsi"/>
          <w:sz w:val="20"/>
          <w:szCs w:val="20"/>
        </w:rPr>
        <w:t> »</w:t>
      </w:r>
      <w:r w:rsidR="000056CC" w:rsidRPr="00965720">
        <w:rPr>
          <w:rFonts w:cstheme="minorHAnsi"/>
          <w:sz w:val="20"/>
          <w:szCs w:val="20"/>
        </w:rPr>
        <w:t>, c'est-à-dire être spécifique</w:t>
      </w:r>
      <w:r>
        <w:rPr>
          <w:rFonts w:cstheme="minorHAnsi"/>
          <w:sz w:val="20"/>
          <w:szCs w:val="20"/>
        </w:rPr>
        <w:t>s</w:t>
      </w:r>
      <w:r w:rsidR="000056CC" w:rsidRPr="00965720">
        <w:rPr>
          <w:rFonts w:cstheme="minorHAnsi"/>
          <w:sz w:val="20"/>
          <w:szCs w:val="20"/>
        </w:rPr>
        <w:t>, mesurable</w:t>
      </w:r>
      <w:r>
        <w:rPr>
          <w:rFonts w:cstheme="minorHAnsi"/>
          <w:sz w:val="20"/>
          <w:szCs w:val="20"/>
        </w:rPr>
        <w:t>s</w:t>
      </w:r>
      <w:r w:rsidR="000056CC" w:rsidRPr="00965720">
        <w:rPr>
          <w:rFonts w:cstheme="minorHAnsi"/>
          <w:sz w:val="20"/>
          <w:szCs w:val="20"/>
        </w:rPr>
        <w:t>, réalisable</w:t>
      </w:r>
      <w:r>
        <w:rPr>
          <w:rFonts w:cstheme="minorHAnsi"/>
          <w:sz w:val="20"/>
          <w:szCs w:val="20"/>
        </w:rPr>
        <w:t>s</w:t>
      </w:r>
      <w:r w:rsidR="000056CC" w:rsidRPr="00965720">
        <w:rPr>
          <w:rFonts w:cstheme="minorHAnsi"/>
          <w:sz w:val="20"/>
          <w:szCs w:val="20"/>
        </w:rPr>
        <w:t>, réaliste</w:t>
      </w:r>
      <w:r>
        <w:rPr>
          <w:rFonts w:cstheme="minorHAnsi"/>
          <w:sz w:val="20"/>
          <w:szCs w:val="20"/>
        </w:rPr>
        <w:t>s</w:t>
      </w:r>
      <w:r w:rsidR="000056CC" w:rsidRPr="00965720">
        <w:rPr>
          <w:rFonts w:cstheme="minorHAnsi"/>
          <w:sz w:val="20"/>
          <w:szCs w:val="20"/>
        </w:rPr>
        <w:t xml:space="preserve"> et</w:t>
      </w:r>
      <w:r w:rsidR="000056CC">
        <w:rPr>
          <w:rFonts w:cstheme="minorHAnsi"/>
          <w:sz w:val="20"/>
          <w:szCs w:val="20"/>
        </w:rPr>
        <w:t xml:space="preserve"> </w:t>
      </w:r>
      <w:r w:rsidR="000056CC" w:rsidRPr="00965720">
        <w:rPr>
          <w:rFonts w:cstheme="minorHAnsi"/>
          <w:sz w:val="20"/>
          <w:szCs w:val="20"/>
        </w:rPr>
        <w:t>limité</w:t>
      </w:r>
      <w:r w:rsidR="000056CC">
        <w:rPr>
          <w:rFonts w:cstheme="minorHAnsi"/>
          <w:sz w:val="20"/>
          <w:szCs w:val="20"/>
        </w:rPr>
        <w:t>e</w:t>
      </w:r>
      <w:r>
        <w:rPr>
          <w:rFonts w:cstheme="minorHAnsi"/>
          <w:sz w:val="20"/>
          <w:szCs w:val="20"/>
        </w:rPr>
        <w:t>s</w:t>
      </w:r>
      <w:r w:rsidR="000056CC" w:rsidRPr="00965720">
        <w:rPr>
          <w:rFonts w:cstheme="minorHAnsi"/>
          <w:sz w:val="20"/>
          <w:szCs w:val="20"/>
        </w:rPr>
        <w:t xml:space="preserve"> dans le temps.</w:t>
      </w:r>
    </w:p>
    <w:p w14:paraId="78B68B7D" w14:textId="77777777" w:rsidR="000544F5" w:rsidRDefault="000544F5" w:rsidP="00713B96">
      <w:pPr>
        <w:spacing w:after="0" w:line="276" w:lineRule="auto"/>
        <w:jc w:val="both"/>
        <w:rPr>
          <w:rFonts w:cstheme="minorHAnsi"/>
          <w:sz w:val="20"/>
          <w:szCs w:val="20"/>
        </w:rPr>
      </w:pPr>
    </w:p>
    <w:p w14:paraId="36FE611A" w14:textId="01A14DC3" w:rsidR="003A7DD9" w:rsidRPr="00B9741A" w:rsidRDefault="00FC7FE3" w:rsidP="00713B96">
      <w:pPr>
        <w:spacing w:after="0" w:line="276" w:lineRule="auto"/>
        <w:jc w:val="both"/>
        <w:rPr>
          <w:rFonts w:cstheme="minorHAnsi"/>
          <w:sz w:val="20"/>
          <w:szCs w:val="20"/>
        </w:rPr>
      </w:pPr>
      <w:r w:rsidRPr="00FC7FE3">
        <w:rPr>
          <w:rFonts w:cstheme="minorHAnsi"/>
          <w:sz w:val="20"/>
          <w:szCs w:val="20"/>
          <w:u w:val="single"/>
        </w:rPr>
        <w:t>Nb</w:t>
      </w:r>
      <w:r>
        <w:rPr>
          <w:rFonts w:cstheme="minorHAnsi"/>
          <w:sz w:val="20"/>
          <w:szCs w:val="20"/>
        </w:rPr>
        <w:t xml:space="preserve"> : </w:t>
      </w:r>
      <w:r w:rsidR="00E76B6A">
        <w:rPr>
          <w:rFonts w:cstheme="minorHAnsi"/>
          <w:sz w:val="20"/>
          <w:szCs w:val="20"/>
        </w:rPr>
        <w:t>Les valeurs intermédiaires et cibles</w:t>
      </w:r>
      <w:r w:rsidR="00BF2814">
        <w:rPr>
          <w:rFonts w:cstheme="minorHAnsi"/>
          <w:sz w:val="20"/>
          <w:szCs w:val="20"/>
        </w:rPr>
        <w:t xml:space="preserve"> </w:t>
      </w:r>
      <w:r w:rsidR="0090164B" w:rsidRPr="0090164B">
        <w:rPr>
          <w:rFonts w:cstheme="minorHAnsi"/>
          <w:sz w:val="20"/>
          <w:szCs w:val="20"/>
        </w:rPr>
        <w:t>doivent être associé</w:t>
      </w:r>
      <w:r w:rsidR="0090164B">
        <w:rPr>
          <w:rFonts w:cstheme="minorHAnsi"/>
          <w:sz w:val="20"/>
          <w:szCs w:val="20"/>
        </w:rPr>
        <w:t>e</w:t>
      </w:r>
      <w:r w:rsidR="0090164B" w:rsidRPr="0090164B">
        <w:rPr>
          <w:rFonts w:cstheme="minorHAnsi"/>
          <w:sz w:val="20"/>
          <w:szCs w:val="20"/>
        </w:rPr>
        <w:t>s à un calendrier clair</w:t>
      </w:r>
      <w:r w:rsidR="00713B96">
        <w:rPr>
          <w:rFonts w:cstheme="minorHAnsi"/>
          <w:sz w:val="20"/>
          <w:szCs w:val="20"/>
        </w:rPr>
        <w:t xml:space="preserve"> de </w:t>
      </w:r>
      <w:r w:rsidR="0090164B" w:rsidRPr="0090164B">
        <w:rPr>
          <w:rFonts w:cstheme="minorHAnsi"/>
          <w:sz w:val="20"/>
          <w:szCs w:val="20"/>
        </w:rPr>
        <w:t>mise en œuvre.</w:t>
      </w:r>
      <w:r w:rsidR="000544F5">
        <w:rPr>
          <w:rFonts w:cstheme="minorHAnsi"/>
          <w:sz w:val="20"/>
          <w:szCs w:val="20"/>
        </w:rPr>
        <w:t xml:space="preserve"> </w:t>
      </w:r>
      <w:r w:rsidR="0090164B" w:rsidRPr="0090164B">
        <w:rPr>
          <w:rFonts w:cstheme="minorHAnsi"/>
          <w:sz w:val="20"/>
          <w:szCs w:val="20"/>
        </w:rPr>
        <w:t>Les États membres devront respecter ce calendrier pour</w:t>
      </w:r>
      <w:r w:rsidR="000544F5">
        <w:rPr>
          <w:rFonts w:cstheme="minorHAnsi"/>
          <w:sz w:val="20"/>
          <w:szCs w:val="20"/>
        </w:rPr>
        <w:t xml:space="preserve"> </w:t>
      </w:r>
      <w:r w:rsidR="0090164B" w:rsidRPr="0090164B">
        <w:rPr>
          <w:rFonts w:cstheme="minorHAnsi"/>
          <w:sz w:val="20"/>
          <w:szCs w:val="20"/>
        </w:rPr>
        <w:t>veiller à ce que le programme de réforme</w:t>
      </w:r>
      <w:r>
        <w:rPr>
          <w:rFonts w:cstheme="minorHAnsi"/>
          <w:sz w:val="20"/>
          <w:szCs w:val="20"/>
        </w:rPr>
        <w:t>s</w:t>
      </w:r>
      <w:r w:rsidR="0090164B" w:rsidRPr="0090164B">
        <w:rPr>
          <w:rFonts w:cstheme="minorHAnsi"/>
          <w:sz w:val="20"/>
          <w:szCs w:val="20"/>
        </w:rPr>
        <w:t xml:space="preserve"> et d’investissement</w:t>
      </w:r>
      <w:r>
        <w:rPr>
          <w:rFonts w:cstheme="minorHAnsi"/>
          <w:sz w:val="20"/>
          <w:szCs w:val="20"/>
        </w:rPr>
        <w:t>s</w:t>
      </w:r>
      <w:r w:rsidR="0090164B" w:rsidRPr="0090164B">
        <w:rPr>
          <w:rFonts w:cstheme="minorHAnsi"/>
          <w:sz w:val="20"/>
          <w:szCs w:val="20"/>
        </w:rPr>
        <w:t xml:space="preserve"> se déroule sans retard indu.</w:t>
      </w:r>
    </w:p>
    <w:p w14:paraId="4BB92C1C" w14:textId="77777777" w:rsidR="00EE6E0C" w:rsidRPr="001A793B" w:rsidRDefault="00EE6E0C" w:rsidP="001A793B">
      <w:pPr>
        <w:spacing w:after="0" w:line="276" w:lineRule="auto"/>
        <w:jc w:val="both"/>
        <w:rPr>
          <w:rFonts w:cstheme="minorHAnsi"/>
          <w:sz w:val="20"/>
          <w:szCs w:val="20"/>
        </w:rPr>
      </w:pPr>
    </w:p>
    <w:p w14:paraId="7A62D19B" w14:textId="1FAFD3D3" w:rsidR="001C426D" w:rsidRDefault="00A64F73" w:rsidP="001A793B">
      <w:pPr>
        <w:pBdr>
          <w:top w:val="single" w:sz="4" w:space="1" w:color="auto"/>
          <w:left w:val="single" w:sz="4" w:space="4" w:color="auto"/>
          <w:bottom w:val="single" w:sz="4" w:space="1" w:color="auto"/>
          <w:right w:val="single" w:sz="4" w:space="4" w:color="auto"/>
        </w:pBdr>
        <w:spacing w:after="0" w:line="276" w:lineRule="auto"/>
        <w:jc w:val="both"/>
        <w:rPr>
          <w:rFonts w:cstheme="minorHAnsi"/>
          <w:b/>
          <w:bCs/>
          <w:sz w:val="20"/>
          <w:szCs w:val="20"/>
        </w:rPr>
      </w:pPr>
      <w:bookmarkStart w:id="3" w:name="_Hlk55233813"/>
      <w:r w:rsidRPr="001A793B">
        <w:rPr>
          <w:rFonts w:cstheme="minorHAnsi"/>
          <w:b/>
          <w:bCs/>
          <w:sz w:val="20"/>
          <w:szCs w:val="20"/>
        </w:rPr>
        <w:lastRenderedPageBreak/>
        <w:t>Synthèse des critères d’éligibilité des projets</w:t>
      </w:r>
      <w:r w:rsidR="0064013A" w:rsidRPr="001A793B">
        <w:rPr>
          <w:rFonts w:cstheme="minorHAnsi"/>
          <w:b/>
          <w:bCs/>
          <w:sz w:val="20"/>
          <w:szCs w:val="20"/>
        </w:rPr>
        <w:t xml:space="preserve"> d’investissement</w:t>
      </w:r>
      <w:r w:rsidR="00517105" w:rsidRPr="001A793B">
        <w:rPr>
          <w:rFonts w:cstheme="minorHAnsi"/>
          <w:b/>
          <w:bCs/>
          <w:sz w:val="20"/>
          <w:szCs w:val="20"/>
        </w:rPr>
        <w:t> </w:t>
      </w:r>
      <w:bookmarkEnd w:id="3"/>
      <w:r w:rsidR="00517105" w:rsidRPr="001A793B">
        <w:rPr>
          <w:rFonts w:cstheme="minorHAnsi"/>
          <w:b/>
          <w:bCs/>
          <w:sz w:val="20"/>
          <w:szCs w:val="20"/>
        </w:rPr>
        <w:t>:</w:t>
      </w:r>
    </w:p>
    <w:p w14:paraId="375DF6F5" w14:textId="77777777" w:rsidR="009E357C" w:rsidRPr="001A793B" w:rsidRDefault="009E357C" w:rsidP="001A793B">
      <w:pPr>
        <w:pBdr>
          <w:top w:val="single" w:sz="4" w:space="1" w:color="auto"/>
          <w:left w:val="single" w:sz="4" w:space="4" w:color="auto"/>
          <w:bottom w:val="single" w:sz="4" w:space="1" w:color="auto"/>
          <w:right w:val="single" w:sz="4" w:space="4" w:color="auto"/>
        </w:pBdr>
        <w:spacing w:after="0" w:line="276" w:lineRule="auto"/>
        <w:jc w:val="both"/>
        <w:rPr>
          <w:rFonts w:cstheme="minorHAnsi"/>
          <w:b/>
          <w:bCs/>
          <w:sz w:val="20"/>
          <w:szCs w:val="20"/>
        </w:rPr>
      </w:pPr>
    </w:p>
    <w:p w14:paraId="7F64978B" w14:textId="10119067" w:rsidR="00EF77A9" w:rsidRPr="001A793B" w:rsidRDefault="00EF77A9" w:rsidP="00EF77A9">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rPr>
      </w:pPr>
      <w:r>
        <w:rPr>
          <w:rFonts w:cstheme="minorHAnsi"/>
          <w:sz w:val="20"/>
          <w:szCs w:val="20"/>
        </w:rPr>
        <w:t>Le m</w:t>
      </w:r>
      <w:r w:rsidRPr="001A793B">
        <w:rPr>
          <w:rFonts w:cstheme="minorHAnsi"/>
          <w:sz w:val="20"/>
          <w:szCs w:val="20"/>
        </w:rPr>
        <w:t xml:space="preserve">ontant minimum </w:t>
      </w:r>
      <w:r>
        <w:rPr>
          <w:rFonts w:cstheme="minorHAnsi"/>
          <w:sz w:val="20"/>
          <w:szCs w:val="20"/>
        </w:rPr>
        <w:t xml:space="preserve">par projet est fixé à </w:t>
      </w:r>
      <w:r w:rsidRPr="001A793B">
        <w:rPr>
          <w:rFonts w:cstheme="minorHAnsi"/>
          <w:sz w:val="20"/>
          <w:szCs w:val="20"/>
        </w:rPr>
        <w:t>10.000.000 EUR</w:t>
      </w:r>
      <w:r w:rsidR="00A37E9D">
        <w:rPr>
          <w:rFonts w:cstheme="minorHAnsi"/>
          <w:sz w:val="20"/>
          <w:szCs w:val="20"/>
        </w:rPr>
        <w:t>.</w:t>
      </w:r>
      <w:r w:rsidRPr="001A793B">
        <w:rPr>
          <w:rFonts w:cstheme="minorHAnsi"/>
          <w:sz w:val="20"/>
          <w:szCs w:val="20"/>
        </w:rPr>
        <w:t xml:space="preserve"> </w:t>
      </w:r>
    </w:p>
    <w:p w14:paraId="61F48617" w14:textId="5C932B99" w:rsidR="009F4F85" w:rsidRPr="001A793B" w:rsidRDefault="00EE6E0C" w:rsidP="001A793B">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rPr>
      </w:pPr>
      <w:r>
        <w:rPr>
          <w:rFonts w:cstheme="minorHAnsi"/>
          <w:sz w:val="20"/>
          <w:szCs w:val="20"/>
        </w:rPr>
        <w:t>L</w:t>
      </w:r>
      <w:r w:rsidR="008778EA" w:rsidRPr="001A793B">
        <w:rPr>
          <w:rFonts w:cstheme="minorHAnsi"/>
          <w:sz w:val="20"/>
          <w:szCs w:val="20"/>
        </w:rPr>
        <w:t>es p</w:t>
      </w:r>
      <w:r w:rsidR="001C426D" w:rsidRPr="001A793B">
        <w:rPr>
          <w:rFonts w:cstheme="minorHAnsi"/>
          <w:sz w:val="20"/>
          <w:szCs w:val="20"/>
        </w:rPr>
        <w:t>rojets</w:t>
      </w:r>
      <w:r w:rsidR="00D447CC">
        <w:rPr>
          <w:rFonts w:cstheme="minorHAnsi"/>
          <w:sz w:val="20"/>
          <w:szCs w:val="20"/>
        </w:rPr>
        <w:t xml:space="preserve"> devraient être</w:t>
      </w:r>
      <w:r w:rsidR="001C426D" w:rsidRPr="001A793B">
        <w:rPr>
          <w:rFonts w:cstheme="minorHAnsi"/>
          <w:sz w:val="20"/>
          <w:szCs w:val="20"/>
        </w:rPr>
        <w:t xml:space="preserve"> engagés </w:t>
      </w:r>
      <w:r w:rsidR="00297DD0">
        <w:rPr>
          <w:rFonts w:cstheme="minorHAnsi"/>
          <w:sz w:val="20"/>
          <w:szCs w:val="20"/>
        </w:rPr>
        <w:t xml:space="preserve">sur la période comprise entre </w:t>
      </w:r>
      <w:r w:rsidR="001C426D" w:rsidRPr="001A793B">
        <w:rPr>
          <w:rFonts w:cstheme="minorHAnsi"/>
          <w:sz w:val="20"/>
          <w:szCs w:val="20"/>
        </w:rPr>
        <w:t xml:space="preserve">le 1er février 2020 et le 31 août 2026. </w:t>
      </w:r>
    </w:p>
    <w:p w14:paraId="0A425B56" w14:textId="5309F1EC" w:rsidR="005E32E2" w:rsidRPr="0082545A" w:rsidRDefault="0082545A" w:rsidP="001A793B">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rPr>
      </w:pPr>
      <w:r>
        <w:rPr>
          <w:rFonts w:cstheme="minorHAnsi"/>
          <w:sz w:val="20"/>
          <w:szCs w:val="20"/>
        </w:rPr>
        <w:t>Les projets devraient c</w:t>
      </w:r>
      <w:r w:rsidR="00106228" w:rsidRPr="001A793B">
        <w:rPr>
          <w:rFonts w:cstheme="minorHAnsi"/>
          <w:sz w:val="20"/>
          <w:szCs w:val="20"/>
        </w:rPr>
        <w:t xml:space="preserve">ontribuer </w:t>
      </w:r>
      <w:r w:rsidR="00B35D45" w:rsidRPr="001A793B">
        <w:rPr>
          <w:rFonts w:cstheme="minorHAnsi"/>
          <w:sz w:val="20"/>
          <w:szCs w:val="20"/>
        </w:rPr>
        <w:t>à un ou plusieurs objectifs généraux du plan de reprise et de résilience</w:t>
      </w:r>
      <w:r w:rsidR="00F44799" w:rsidRPr="001A793B">
        <w:rPr>
          <w:rFonts w:cstheme="minorHAnsi"/>
          <w:sz w:val="20"/>
          <w:szCs w:val="20"/>
        </w:rPr>
        <w:t xml:space="preserve"> européen</w:t>
      </w:r>
      <w:r w:rsidR="00B35D45" w:rsidRPr="001A793B">
        <w:rPr>
          <w:rFonts w:cstheme="minorHAnsi"/>
          <w:sz w:val="20"/>
          <w:szCs w:val="20"/>
        </w:rPr>
        <w:t xml:space="preserve"> : (1) </w:t>
      </w:r>
      <w:r w:rsidR="00106228" w:rsidRPr="001A793B">
        <w:rPr>
          <w:rFonts w:cstheme="minorHAnsi"/>
          <w:sz w:val="20"/>
          <w:szCs w:val="20"/>
        </w:rPr>
        <w:t>Promouvoir la cohésion économique, sociale et territoriale de l'Union</w:t>
      </w:r>
      <w:r w:rsidR="003631C2" w:rsidRPr="001A793B">
        <w:rPr>
          <w:rFonts w:cstheme="minorHAnsi"/>
          <w:sz w:val="20"/>
          <w:szCs w:val="20"/>
        </w:rPr>
        <w:t xml:space="preserve"> (2) </w:t>
      </w:r>
      <w:r w:rsidR="00106228" w:rsidRPr="001A793B">
        <w:rPr>
          <w:rFonts w:cstheme="minorHAnsi"/>
          <w:sz w:val="20"/>
          <w:szCs w:val="20"/>
        </w:rPr>
        <w:t>Renforcer la résilience économique et sociale</w:t>
      </w:r>
      <w:r w:rsidR="003631C2" w:rsidRPr="001A793B">
        <w:rPr>
          <w:rFonts w:cstheme="minorHAnsi"/>
          <w:sz w:val="20"/>
          <w:szCs w:val="20"/>
        </w:rPr>
        <w:t xml:space="preserve"> (3) </w:t>
      </w:r>
      <w:r w:rsidR="00106228" w:rsidRPr="001A793B">
        <w:rPr>
          <w:rFonts w:cstheme="minorHAnsi"/>
          <w:sz w:val="20"/>
          <w:szCs w:val="20"/>
        </w:rPr>
        <w:t>Atténuer l'impact social et économique de la crise</w:t>
      </w:r>
      <w:r w:rsidR="003631C2" w:rsidRPr="001A793B">
        <w:rPr>
          <w:rFonts w:cstheme="minorHAnsi"/>
          <w:sz w:val="20"/>
          <w:szCs w:val="20"/>
        </w:rPr>
        <w:t xml:space="preserve"> (4) </w:t>
      </w:r>
      <w:r w:rsidR="00106228" w:rsidRPr="001A793B">
        <w:rPr>
          <w:rFonts w:cstheme="minorHAnsi"/>
          <w:sz w:val="20"/>
          <w:szCs w:val="20"/>
        </w:rPr>
        <w:t>Soutenir les transitions verte et numérique pour rendre les économies plus durables</w:t>
      </w:r>
      <w:r w:rsidR="003631C2" w:rsidRPr="001A793B">
        <w:rPr>
          <w:rFonts w:cstheme="minorHAnsi"/>
          <w:sz w:val="20"/>
          <w:szCs w:val="20"/>
        </w:rPr>
        <w:t>.</w:t>
      </w:r>
    </w:p>
    <w:p w14:paraId="3F92BC08" w14:textId="3A5AD895" w:rsidR="0082545A" w:rsidRPr="001A793B" w:rsidRDefault="0082545A" w:rsidP="001A793B">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rPr>
      </w:pPr>
      <w:r>
        <w:rPr>
          <w:rFonts w:cstheme="minorHAnsi"/>
          <w:sz w:val="20"/>
          <w:szCs w:val="20"/>
        </w:rPr>
        <w:t xml:space="preserve">Les projets devraient contribuer à apporter </w:t>
      </w:r>
      <w:r w:rsidRPr="0082545A">
        <w:rPr>
          <w:rFonts w:cstheme="minorHAnsi"/>
          <w:sz w:val="20"/>
          <w:szCs w:val="20"/>
        </w:rPr>
        <w:t>des réponses aux défis et aux priorités recensés dans les recommandations par pays formulées dans le contexte du Semestre européen (recommandations 2019 et 2020).</w:t>
      </w:r>
      <w:r w:rsidR="00914098">
        <w:rPr>
          <w:rFonts w:cstheme="minorHAnsi"/>
          <w:sz w:val="20"/>
          <w:szCs w:val="20"/>
        </w:rPr>
        <w:t xml:space="preserve"> Ils </w:t>
      </w:r>
      <w:r w:rsidR="00030FA3">
        <w:rPr>
          <w:rFonts w:cstheme="minorHAnsi"/>
          <w:sz w:val="20"/>
          <w:szCs w:val="20"/>
        </w:rPr>
        <w:t xml:space="preserve">devraient </w:t>
      </w:r>
      <w:r w:rsidR="001F02AB">
        <w:rPr>
          <w:rFonts w:cstheme="minorHAnsi"/>
          <w:sz w:val="20"/>
          <w:szCs w:val="20"/>
        </w:rPr>
        <w:t xml:space="preserve">dans ce cadre </w:t>
      </w:r>
      <w:r w:rsidR="005438DE">
        <w:rPr>
          <w:rFonts w:cstheme="minorHAnsi"/>
          <w:sz w:val="20"/>
          <w:szCs w:val="20"/>
        </w:rPr>
        <w:t>associer une ou plusieurs réformes</w:t>
      </w:r>
      <w:r w:rsidR="00C24FB3">
        <w:rPr>
          <w:rFonts w:cstheme="minorHAnsi"/>
          <w:sz w:val="20"/>
          <w:szCs w:val="20"/>
        </w:rPr>
        <w:t xml:space="preserve"> </w:t>
      </w:r>
      <w:r w:rsidR="00030FA3">
        <w:rPr>
          <w:rFonts w:cstheme="minorHAnsi"/>
          <w:sz w:val="20"/>
          <w:szCs w:val="20"/>
        </w:rPr>
        <w:t xml:space="preserve">répondant à ces recommandations. </w:t>
      </w:r>
      <w:r w:rsidR="001F02AB">
        <w:rPr>
          <w:rFonts w:cstheme="minorHAnsi"/>
          <w:sz w:val="20"/>
          <w:szCs w:val="20"/>
        </w:rPr>
        <w:t xml:space="preserve">  </w:t>
      </w:r>
    </w:p>
    <w:p w14:paraId="541B6009" w14:textId="3201766C" w:rsidR="00FF1572" w:rsidRPr="001A793B" w:rsidRDefault="003865FE" w:rsidP="001A793B">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rPr>
      </w:pPr>
      <w:r>
        <w:rPr>
          <w:rFonts w:cstheme="minorHAnsi"/>
          <w:sz w:val="20"/>
          <w:szCs w:val="20"/>
        </w:rPr>
        <w:t xml:space="preserve">Les projets devraient </w:t>
      </w:r>
      <w:r w:rsidR="001321B0">
        <w:rPr>
          <w:rFonts w:cstheme="minorHAnsi"/>
          <w:sz w:val="20"/>
          <w:szCs w:val="20"/>
        </w:rPr>
        <w:t>respecter le</w:t>
      </w:r>
      <w:r w:rsidR="0077549F" w:rsidRPr="001A793B">
        <w:rPr>
          <w:rFonts w:cstheme="minorHAnsi"/>
          <w:sz w:val="20"/>
          <w:szCs w:val="20"/>
        </w:rPr>
        <w:t xml:space="preserve"> principe consistant à «ne pas causer de </w:t>
      </w:r>
      <w:proofErr w:type="gramStart"/>
      <w:r w:rsidR="0077549F" w:rsidRPr="001A793B">
        <w:rPr>
          <w:rFonts w:cstheme="minorHAnsi"/>
          <w:sz w:val="20"/>
          <w:szCs w:val="20"/>
        </w:rPr>
        <w:t>préjudice»</w:t>
      </w:r>
      <w:proofErr w:type="gramEnd"/>
      <w:r w:rsidR="00A02CA1" w:rsidRPr="001A793B">
        <w:rPr>
          <w:rFonts w:cstheme="minorHAnsi"/>
          <w:sz w:val="20"/>
          <w:szCs w:val="20"/>
        </w:rPr>
        <w:t xml:space="preserve"> c’est-à-dire qu</w:t>
      </w:r>
      <w:r w:rsidR="001321B0">
        <w:rPr>
          <w:rFonts w:cstheme="minorHAnsi"/>
          <w:sz w:val="20"/>
          <w:szCs w:val="20"/>
        </w:rPr>
        <w:t xml:space="preserve">’ils ne peuvent </w:t>
      </w:r>
      <w:r w:rsidR="00DE57B7" w:rsidRPr="001A793B">
        <w:rPr>
          <w:rFonts w:cstheme="minorHAnsi"/>
          <w:sz w:val="20"/>
          <w:szCs w:val="20"/>
        </w:rPr>
        <w:t xml:space="preserve">se faire </w:t>
      </w:r>
      <w:r w:rsidR="0077549F" w:rsidRPr="001A793B">
        <w:rPr>
          <w:rFonts w:cstheme="minorHAnsi"/>
          <w:sz w:val="20"/>
          <w:szCs w:val="20"/>
        </w:rPr>
        <w:t>au détriment des objectifs climatiques et environnementaux.</w:t>
      </w:r>
      <w:r w:rsidR="00FF1572" w:rsidRPr="001A793B">
        <w:rPr>
          <w:rFonts w:cstheme="minorHAnsi"/>
          <w:sz w:val="20"/>
          <w:szCs w:val="20"/>
        </w:rPr>
        <w:t xml:space="preserve"> </w:t>
      </w:r>
    </w:p>
    <w:p w14:paraId="4A3E6DB6" w14:textId="77777777" w:rsidR="00195F71" w:rsidRPr="00195F71" w:rsidRDefault="00725F69" w:rsidP="001A793B">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rPr>
      </w:pPr>
      <w:r w:rsidRPr="00725F69">
        <w:rPr>
          <w:rFonts w:cstheme="minorHAnsi"/>
          <w:sz w:val="20"/>
          <w:szCs w:val="20"/>
        </w:rPr>
        <w:t>Les</w:t>
      </w:r>
      <w:r w:rsidR="00195F71">
        <w:rPr>
          <w:rFonts w:cstheme="minorHAnsi"/>
          <w:sz w:val="20"/>
          <w:szCs w:val="20"/>
        </w:rPr>
        <w:t xml:space="preserve"> projets </w:t>
      </w:r>
      <w:r w:rsidRPr="00725F69">
        <w:rPr>
          <w:rFonts w:cstheme="minorHAnsi"/>
          <w:sz w:val="20"/>
          <w:szCs w:val="20"/>
        </w:rPr>
        <w:t>ne devraient pas couvrir des domaines qui sont déjà couverts de manière satisfaisante par le marché et, dans la mesure du possible, viser à attirer des investisseurs privés</w:t>
      </w:r>
    </w:p>
    <w:p w14:paraId="3E7299B2" w14:textId="77777777" w:rsidR="00833572" w:rsidRPr="00833572" w:rsidRDefault="00833572" w:rsidP="00833572">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rPr>
      </w:pPr>
      <w:r>
        <w:rPr>
          <w:rFonts w:cstheme="minorHAnsi"/>
          <w:sz w:val="20"/>
          <w:szCs w:val="20"/>
        </w:rPr>
        <w:t>L</w:t>
      </w:r>
      <w:r w:rsidRPr="00833572">
        <w:rPr>
          <w:rFonts w:cstheme="minorHAnsi"/>
          <w:sz w:val="20"/>
          <w:szCs w:val="20"/>
        </w:rPr>
        <w:t>es</w:t>
      </w:r>
      <w:r>
        <w:rPr>
          <w:rFonts w:cstheme="minorHAnsi"/>
          <w:sz w:val="20"/>
          <w:szCs w:val="20"/>
        </w:rPr>
        <w:t xml:space="preserve"> projets se doivent d’être </w:t>
      </w:r>
      <w:r w:rsidRPr="00833572">
        <w:rPr>
          <w:rFonts w:cstheme="minorHAnsi"/>
          <w:sz w:val="20"/>
          <w:szCs w:val="20"/>
        </w:rPr>
        <w:t xml:space="preserve">conformes aux règles de l'UE en matière d'aides d'État et </w:t>
      </w:r>
      <w:r>
        <w:rPr>
          <w:rFonts w:cstheme="minorHAnsi"/>
          <w:sz w:val="20"/>
          <w:szCs w:val="20"/>
        </w:rPr>
        <w:t xml:space="preserve">de suivre </w:t>
      </w:r>
      <w:r w:rsidRPr="00833572">
        <w:rPr>
          <w:rFonts w:cstheme="minorHAnsi"/>
          <w:sz w:val="20"/>
          <w:szCs w:val="20"/>
        </w:rPr>
        <w:t>toutes les procédures et règles régulières.</w:t>
      </w:r>
    </w:p>
    <w:p w14:paraId="5E7493AC" w14:textId="7CBB6433" w:rsidR="00833572" w:rsidRPr="009A1451" w:rsidRDefault="00FF1572" w:rsidP="00833572">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rPr>
      </w:pPr>
      <w:r w:rsidRPr="001A793B">
        <w:rPr>
          <w:rFonts w:cstheme="minorHAnsi"/>
          <w:sz w:val="20"/>
          <w:szCs w:val="20"/>
        </w:rPr>
        <w:t xml:space="preserve">Sauf exception, seules les dépenses </w:t>
      </w:r>
      <w:r w:rsidR="00007F49">
        <w:rPr>
          <w:rFonts w:cstheme="minorHAnsi"/>
          <w:sz w:val="20"/>
          <w:szCs w:val="20"/>
        </w:rPr>
        <w:t xml:space="preserve">de nature </w:t>
      </w:r>
      <w:r w:rsidRPr="001A793B">
        <w:rPr>
          <w:rFonts w:cstheme="minorHAnsi"/>
          <w:sz w:val="20"/>
          <w:szCs w:val="20"/>
        </w:rPr>
        <w:t>non récurrente sont éligibles</w:t>
      </w:r>
      <w:r w:rsidR="00632E09">
        <w:rPr>
          <w:rFonts w:cstheme="minorHAnsi"/>
          <w:sz w:val="20"/>
          <w:szCs w:val="20"/>
        </w:rPr>
        <w:t>.</w:t>
      </w:r>
    </w:p>
    <w:p w14:paraId="5D266D3C" w14:textId="396BEEF8" w:rsidR="009A1451" w:rsidRPr="00833572" w:rsidRDefault="009A1451" w:rsidP="00833572">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rPr>
      </w:pPr>
      <w:r>
        <w:rPr>
          <w:rFonts w:cstheme="minorHAnsi"/>
          <w:sz w:val="20"/>
          <w:szCs w:val="20"/>
        </w:rPr>
        <w:t xml:space="preserve">Les projets doivent </w:t>
      </w:r>
      <w:r w:rsidR="00632E09">
        <w:rPr>
          <w:rFonts w:cstheme="minorHAnsi"/>
          <w:sz w:val="20"/>
          <w:szCs w:val="20"/>
        </w:rPr>
        <w:t xml:space="preserve">inclure des valeurs intermédiaires et cibles claires, liées à un calendrier précis. </w:t>
      </w:r>
    </w:p>
    <w:p w14:paraId="5C628D53" w14:textId="77777777" w:rsidR="00007F49" w:rsidRDefault="00007F49" w:rsidP="001A793B">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u w:val="single"/>
        </w:rPr>
      </w:pPr>
    </w:p>
    <w:p w14:paraId="2BD1281B" w14:textId="15C5B2A1" w:rsidR="00903553" w:rsidRPr="001A793B" w:rsidRDefault="00903553" w:rsidP="001A793B">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rPr>
      </w:pPr>
      <w:r w:rsidRPr="001A793B">
        <w:rPr>
          <w:rFonts w:cstheme="minorHAnsi"/>
          <w:sz w:val="20"/>
          <w:szCs w:val="20"/>
          <w:u w:val="single"/>
        </w:rPr>
        <w:t>Pour rappel</w:t>
      </w:r>
      <w:r w:rsidRPr="001A793B">
        <w:rPr>
          <w:rFonts w:cstheme="minorHAnsi"/>
          <w:sz w:val="20"/>
          <w:szCs w:val="20"/>
        </w:rPr>
        <w:t> :</w:t>
      </w:r>
    </w:p>
    <w:p w14:paraId="6A860CA6" w14:textId="3AB2660B" w:rsidR="00517105" w:rsidRPr="001A793B" w:rsidRDefault="003519A9" w:rsidP="001A793B">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rPr>
      </w:pPr>
      <w:r w:rsidRPr="001A793B">
        <w:rPr>
          <w:rFonts w:cstheme="minorHAnsi"/>
          <w:sz w:val="20"/>
          <w:szCs w:val="20"/>
        </w:rPr>
        <w:t>Un mini</w:t>
      </w:r>
      <w:r w:rsidR="00A02CA1" w:rsidRPr="001A793B">
        <w:rPr>
          <w:rFonts w:cstheme="minorHAnsi"/>
          <w:sz w:val="20"/>
          <w:szCs w:val="20"/>
        </w:rPr>
        <w:t>m</w:t>
      </w:r>
      <w:r w:rsidRPr="001A793B">
        <w:rPr>
          <w:rFonts w:cstheme="minorHAnsi"/>
          <w:sz w:val="20"/>
          <w:szCs w:val="20"/>
        </w:rPr>
        <w:t xml:space="preserve">um de 37% </w:t>
      </w:r>
      <w:r w:rsidR="008D0C27" w:rsidRPr="001A793B">
        <w:rPr>
          <w:rFonts w:cstheme="minorHAnsi"/>
          <w:sz w:val="20"/>
          <w:szCs w:val="20"/>
        </w:rPr>
        <w:t xml:space="preserve">de l’enveloppe du plan devra être consacrée à la transition </w:t>
      </w:r>
      <w:r w:rsidR="000A0DFA">
        <w:rPr>
          <w:rFonts w:cstheme="minorHAnsi"/>
          <w:sz w:val="20"/>
          <w:szCs w:val="20"/>
        </w:rPr>
        <w:t>environnementale</w:t>
      </w:r>
      <w:r w:rsidR="008D0C27" w:rsidRPr="001A793B">
        <w:rPr>
          <w:rFonts w:cstheme="minorHAnsi"/>
          <w:sz w:val="20"/>
          <w:szCs w:val="20"/>
        </w:rPr>
        <w:t xml:space="preserve"> et </w:t>
      </w:r>
      <w:r w:rsidR="00585FCF" w:rsidRPr="001A793B">
        <w:rPr>
          <w:rFonts w:cstheme="minorHAnsi"/>
          <w:sz w:val="20"/>
          <w:szCs w:val="20"/>
        </w:rPr>
        <w:t xml:space="preserve">un minimum de 20% à la transition numérique. </w:t>
      </w:r>
    </w:p>
    <w:p w14:paraId="0FDB1488" w14:textId="77777777" w:rsidR="001258B9" w:rsidRDefault="00D05EBE" w:rsidP="001258B9">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rPr>
      </w:pPr>
      <w:r w:rsidRPr="001A793B">
        <w:rPr>
          <w:rFonts w:cstheme="minorHAnsi"/>
          <w:sz w:val="20"/>
          <w:szCs w:val="20"/>
        </w:rPr>
        <w:t>L</w:t>
      </w:r>
      <w:r w:rsidR="006C7012" w:rsidRPr="001A793B">
        <w:rPr>
          <w:rFonts w:cstheme="minorHAnsi"/>
          <w:sz w:val="20"/>
          <w:szCs w:val="20"/>
        </w:rPr>
        <w:t xml:space="preserve">’UE </w:t>
      </w:r>
      <w:r w:rsidRPr="001A793B">
        <w:rPr>
          <w:rFonts w:cstheme="minorHAnsi"/>
          <w:sz w:val="20"/>
          <w:szCs w:val="20"/>
        </w:rPr>
        <w:t>encourage les États membres à proposer des initiatives phares en matière d'investissements et de réformes visant, par exemple, à accélérer le développement et l'utilisation des énergies renouvelables, à améliorer l'efficacité énergétique des bâtiments publics et privés et leur efficacité dans l'utilisation des ressources, et à accélérer l'utilisation de transports durables, accessibles et intelligents.</w:t>
      </w:r>
    </w:p>
    <w:p w14:paraId="11C3CF5E" w14:textId="42B2A573" w:rsidR="00EE7956" w:rsidRPr="006E5AC7" w:rsidRDefault="001258B9" w:rsidP="006E5AC7">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rPr>
      </w:pPr>
      <w:r w:rsidRPr="001A793B">
        <w:rPr>
          <w:rFonts w:cstheme="minorHAnsi"/>
          <w:sz w:val="20"/>
          <w:szCs w:val="20"/>
        </w:rPr>
        <w:t>La libération des fonds est subordonnée au respect satisfaisant, par les États membres, des valeurs intermédiaires et des valeurs cibles correspondantes figurant dans leurs plans pour la reprise et la résilience.</w:t>
      </w:r>
    </w:p>
    <w:sectPr w:rsidR="00EE7956" w:rsidRPr="006E5AC7" w:rsidSect="00405C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56B75" w14:textId="77777777" w:rsidR="006428CE" w:rsidRDefault="006428CE" w:rsidP="005713D2">
      <w:pPr>
        <w:spacing w:after="0" w:line="240" w:lineRule="auto"/>
      </w:pPr>
      <w:r>
        <w:separator/>
      </w:r>
    </w:p>
  </w:endnote>
  <w:endnote w:type="continuationSeparator" w:id="0">
    <w:p w14:paraId="7F987890" w14:textId="77777777" w:rsidR="006428CE" w:rsidRDefault="006428CE" w:rsidP="005713D2">
      <w:pPr>
        <w:spacing w:after="0" w:line="240" w:lineRule="auto"/>
      </w:pPr>
      <w:r>
        <w:continuationSeparator/>
      </w:r>
    </w:p>
  </w:endnote>
  <w:endnote w:type="continuationNotice" w:id="1">
    <w:p w14:paraId="6016345A" w14:textId="77777777" w:rsidR="006428CE" w:rsidRDefault="00642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E40F7" w14:textId="77777777" w:rsidR="006428CE" w:rsidRDefault="006428CE" w:rsidP="005713D2">
      <w:pPr>
        <w:spacing w:after="0" w:line="240" w:lineRule="auto"/>
      </w:pPr>
      <w:r>
        <w:separator/>
      </w:r>
    </w:p>
  </w:footnote>
  <w:footnote w:type="continuationSeparator" w:id="0">
    <w:p w14:paraId="3B352B13" w14:textId="77777777" w:rsidR="006428CE" w:rsidRDefault="006428CE" w:rsidP="005713D2">
      <w:pPr>
        <w:spacing w:after="0" w:line="240" w:lineRule="auto"/>
      </w:pPr>
      <w:r>
        <w:continuationSeparator/>
      </w:r>
    </w:p>
  </w:footnote>
  <w:footnote w:type="continuationNotice" w:id="1">
    <w:p w14:paraId="14205638" w14:textId="77777777" w:rsidR="006428CE" w:rsidRDefault="006428CE">
      <w:pPr>
        <w:spacing w:after="0" w:line="240" w:lineRule="auto"/>
      </w:pPr>
    </w:p>
  </w:footnote>
  <w:footnote w:id="2">
    <w:p w14:paraId="58385AED" w14:textId="69D42017" w:rsidR="00DB452A" w:rsidRDefault="00DB452A">
      <w:pPr>
        <w:pStyle w:val="Notedebasdepage"/>
      </w:pPr>
      <w:r>
        <w:rPr>
          <w:rStyle w:val="Appelnotedebasdep"/>
        </w:rPr>
        <w:footnoteRef/>
      </w:r>
      <w:r>
        <w:t xml:space="preserve"> Pour plus de détails, voir : </w:t>
      </w:r>
      <w:hyperlink r:id="rId1" w:history="1">
        <w:r w:rsidR="00FF487D" w:rsidRPr="00B96CC6">
          <w:rPr>
            <w:rStyle w:val="Lienhypertexte"/>
          </w:rPr>
          <w:t>https://ec.europa.eu/info/files/guidance-member-states-recovery-and-resilience-plans_en</w:t>
        </w:r>
      </w:hyperlink>
      <w:r w:rsidR="00FF487D">
        <w:t xml:space="preserve"> </w:t>
      </w:r>
    </w:p>
  </w:footnote>
  <w:footnote w:id="3">
    <w:p w14:paraId="3DCA7551" w14:textId="09B46B29" w:rsidR="006429BA" w:rsidRPr="00904378" w:rsidRDefault="006429BA" w:rsidP="00904378">
      <w:pPr>
        <w:pStyle w:val="Notedebasdepage"/>
        <w:jc w:val="both"/>
        <w:rPr>
          <w:sz w:val="16"/>
          <w:szCs w:val="16"/>
        </w:rPr>
      </w:pPr>
      <w:r w:rsidRPr="00904378">
        <w:rPr>
          <w:rStyle w:val="Appelnotedebasdep"/>
          <w:sz w:val="16"/>
          <w:szCs w:val="16"/>
        </w:rPr>
        <w:footnoteRef/>
      </w:r>
      <w:r w:rsidRPr="00904378">
        <w:rPr>
          <w:sz w:val="16"/>
          <w:szCs w:val="16"/>
        </w:rPr>
        <w:t xml:space="preserve"> Aux prix de 2018. </w:t>
      </w:r>
    </w:p>
  </w:footnote>
  <w:footnote w:id="4">
    <w:p w14:paraId="1174BBAF" w14:textId="77777777" w:rsidR="005A1DE3" w:rsidRPr="00904378" w:rsidRDefault="005A1DE3" w:rsidP="005A1DE3">
      <w:pPr>
        <w:pStyle w:val="Notedebasdepage"/>
        <w:jc w:val="both"/>
        <w:rPr>
          <w:sz w:val="16"/>
          <w:szCs w:val="16"/>
        </w:rPr>
      </w:pPr>
      <w:r w:rsidRPr="00904378">
        <w:rPr>
          <w:rStyle w:val="Appelnotedebasdep"/>
          <w:sz w:val="16"/>
          <w:szCs w:val="16"/>
        </w:rPr>
        <w:footnoteRef/>
      </w:r>
      <w:r w:rsidRPr="00904378">
        <w:rPr>
          <w:sz w:val="16"/>
          <w:szCs w:val="16"/>
        </w:rPr>
        <w:t xml:space="preserve"> </w:t>
      </w:r>
      <w:hyperlink r:id="rId2" w:history="1">
        <w:r w:rsidRPr="00904378">
          <w:rPr>
            <w:rStyle w:val="Lienhypertexte"/>
            <w:sz w:val="16"/>
            <w:szCs w:val="16"/>
          </w:rPr>
          <w:t>https://ec.europa.eu/info/live-work-travel-eu/health/coronavirus-response/recovery-plan-europe/pillars-next-generation-eu_en</w:t>
        </w:r>
      </w:hyperlink>
      <w:r w:rsidRPr="00904378">
        <w:rPr>
          <w:sz w:val="16"/>
          <w:szCs w:val="16"/>
        </w:rPr>
        <w:t xml:space="preserve"> </w:t>
      </w:r>
    </w:p>
  </w:footnote>
  <w:footnote w:id="5">
    <w:p w14:paraId="4650ED22" w14:textId="77777777" w:rsidR="005A1DE3" w:rsidRPr="00904378" w:rsidRDefault="005A1DE3" w:rsidP="005A1DE3">
      <w:pPr>
        <w:pStyle w:val="Notedebasdepage"/>
        <w:jc w:val="both"/>
        <w:rPr>
          <w:sz w:val="16"/>
          <w:szCs w:val="16"/>
        </w:rPr>
      </w:pPr>
      <w:r w:rsidRPr="00904378">
        <w:rPr>
          <w:rStyle w:val="Appelnotedebasdep"/>
          <w:sz w:val="16"/>
          <w:szCs w:val="16"/>
        </w:rPr>
        <w:footnoteRef/>
      </w:r>
      <w:r w:rsidRPr="00904378">
        <w:rPr>
          <w:sz w:val="16"/>
          <w:szCs w:val="16"/>
        </w:rPr>
        <w:t xml:space="preserve"> La clé de répartition pour les années 2021-2022 est calculée, pour chaque État membre, sur la base de sa population, en proportion inverse du PIB par habitant et sur la base du taux de chômage relatif de chaque État membre au cours des 5 dernières années. Dans la clé de répartition pour l'année 2023, le critère du chômage est remplacé, en proportions égales, par le critère de la baisse en pourcentage du PIB réel observée en 2020 et le critère de la variation agrégée en pourcentage du PIB réel sur la période 2020-2021, se fondant à titre préliminaire sur les prévisions de l'automne 2020 de la Commission, qui devront être mises à jour au plus tard le 30 juin 2022 avec les données statistiques les plus récentes.</w:t>
      </w:r>
    </w:p>
  </w:footnote>
  <w:footnote w:id="6">
    <w:p w14:paraId="29A612E9" w14:textId="77777777" w:rsidR="005A1DE3" w:rsidRPr="00904378" w:rsidRDefault="005A1DE3" w:rsidP="005A1DE3">
      <w:pPr>
        <w:pStyle w:val="Notedebasdepage"/>
        <w:jc w:val="both"/>
        <w:rPr>
          <w:sz w:val="16"/>
          <w:szCs w:val="16"/>
        </w:rPr>
      </w:pPr>
      <w:r w:rsidRPr="00904378">
        <w:rPr>
          <w:rStyle w:val="Appelnotedebasdep"/>
          <w:sz w:val="16"/>
          <w:szCs w:val="16"/>
        </w:rPr>
        <w:footnoteRef/>
      </w:r>
      <w:r w:rsidRPr="00904378">
        <w:rPr>
          <w:sz w:val="16"/>
          <w:szCs w:val="16"/>
        </w:rPr>
        <w:t xml:space="preserve"> Le RNB correspond à la somme du PIB et du solde des flux de revenus primaires avec le reste du monde. </w:t>
      </w:r>
    </w:p>
  </w:footnote>
  <w:footnote w:id="7">
    <w:p w14:paraId="63303B26" w14:textId="40889CD3" w:rsidR="005A1DE3" w:rsidRPr="00904378" w:rsidRDefault="005A1DE3" w:rsidP="005A1DE3">
      <w:pPr>
        <w:pStyle w:val="Notedebasdepage"/>
        <w:jc w:val="both"/>
        <w:rPr>
          <w:sz w:val="16"/>
          <w:szCs w:val="16"/>
        </w:rPr>
      </w:pPr>
      <w:r w:rsidRPr="00904378">
        <w:rPr>
          <w:rStyle w:val="Appelnotedebasdep"/>
          <w:sz w:val="16"/>
          <w:szCs w:val="16"/>
        </w:rPr>
        <w:footnoteRef/>
      </w:r>
      <w:r w:rsidR="00403F9F">
        <w:rPr>
          <w:sz w:val="16"/>
          <w:szCs w:val="16"/>
        </w:rPr>
        <w:t xml:space="preserve"> </w:t>
      </w:r>
      <w:hyperlink r:id="rId3" w:history="1">
        <w:r w:rsidR="00403F9F" w:rsidRPr="00B96CC6">
          <w:rPr>
            <w:rStyle w:val="Lienhypertexte"/>
            <w:sz w:val="16"/>
            <w:szCs w:val="16"/>
          </w:rPr>
          <w:t>https://ec.europa.eu/info/sites/info/files/file_import/2019-european-semester-country-specific-recommendation-commission-recommendation-belgium_fr.pdf</w:t>
        </w:r>
      </w:hyperlink>
      <w:r w:rsidRPr="00904378">
        <w:rPr>
          <w:sz w:val="16"/>
          <w:szCs w:val="16"/>
        </w:rPr>
        <w:t xml:space="preserve"> </w:t>
      </w:r>
    </w:p>
  </w:footnote>
  <w:footnote w:id="8">
    <w:p w14:paraId="4C5A1E16" w14:textId="77777777" w:rsidR="005A1DE3" w:rsidRPr="00904378" w:rsidRDefault="005A1DE3" w:rsidP="005A1DE3">
      <w:pPr>
        <w:pStyle w:val="Notedebasdepage"/>
        <w:jc w:val="both"/>
        <w:rPr>
          <w:sz w:val="16"/>
          <w:szCs w:val="16"/>
        </w:rPr>
      </w:pPr>
      <w:r w:rsidRPr="00904378">
        <w:rPr>
          <w:rStyle w:val="Appelnotedebasdep"/>
          <w:sz w:val="16"/>
          <w:szCs w:val="16"/>
        </w:rPr>
        <w:footnoteRef/>
      </w:r>
      <w:r w:rsidRPr="00904378">
        <w:rPr>
          <w:sz w:val="16"/>
          <w:szCs w:val="16"/>
        </w:rPr>
        <w:t xml:space="preserve"> </w:t>
      </w:r>
      <w:hyperlink r:id="rId4" w:history="1">
        <w:r w:rsidRPr="00904378">
          <w:rPr>
            <w:rStyle w:val="Lienhypertexte"/>
            <w:sz w:val="16"/>
            <w:szCs w:val="16"/>
          </w:rPr>
          <w:t>https://ec.europa.eu/info/sites/info/files/2020-european-semester-csr-comm-recommendation-belgium_fr.pdf</w:t>
        </w:r>
      </w:hyperlink>
      <w:r w:rsidRPr="00904378">
        <w:rPr>
          <w:sz w:val="16"/>
          <w:szCs w:val="16"/>
        </w:rPr>
        <w:t xml:space="preserve"> </w:t>
      </w:r>
    </w:p>
  </w:footnote>
  <w:footnote w:id="9">
    <w:p w14:paraId="711A2331" w14:textId="7DDCCBA0" w:rsidR="00F824E1" w:rsidRPr="00904378" w:rsidRDefault="00F824E1" w:rsidP="00904378">
      <w:pPr>
        <w:pStyle w:val="Notedebasdepage"/>
        <w:jc w:val="both"/>
        <w:rPr>
          <w:sz w:val="16"/>
          <w:szCs w:val="16"/>
        </w:rPr>
      </w:pPr>
      <w:r w:rsidRPr="00904378">
        <w:rPr>
          <w:rStyle w:val="Appelnotedebasdep"/>
          <w:sz w:val="16"/>
          <w:szCs w:val="16"/>
        </w:rPr>
        <w:footnoteRef/>
      </w:r>
      <w:r w:rsidRPr="00904378">
        <w:rPr>
          <w:sz w:val="16"/>
          <w:szCs w:val="16"/>
        </w:rPr>
        <w:t xml:space="preserve"> </w:t>
      </w:r>
      <w:r w:rsidR="00904378" w:rsidRPr="00904378">
        <w:rPr>
          <w:sz w:val="16"/>
          <w:szCs w:val="16"/>
        </w:rPr>
        <w:t>À titre exceptionnel, des dépenses de nature récurrente peuvent être financées dans la mesure où l'État membre est en mesure de démontrer qu'elles produiront des effets à plus long terme conformément aux objectifs de la facilité, que leur financement sera assuré de manière durable après la durée de la facilité et que l’effet négatif sur le solde public n’est que temporaire.</w:t>
      </w:r>
    </w:p>
  </w:footnote>
  <w:footnote w:id="10">
    <w:p w14:paraId="6500D75D" w14:textId="2242B261" w:rsidR="00E73D38" w:rsidRDefault="00E73D38">
      <w:pPr>
        <w:pStyle w:val="Notedebasdepage"/>
      </w:pPr>
      <w:r>
        <w:rPr>
          <w:rStyle w:val="Appelnotedebasdep"/>
        </w:rPr>
        <w:footnoteRef/>
      </w:r>
      <w:r>
        <w:t xml:space="preserve"> </w:t>
      </w:r>
      <w:proofErr w:type="spellStart"/>
      <w:r w:rsidR="00FD51C6">
        <w:t>Milestones</w:t>
      </w:r>
      <w:proofErr w:type="spellEnd"/>
      <w:r w:rsidR="00FD51C6">
        <w:t xml:space="preserve"> &amp; </w:t>
      </w:r>
      <w:proofErr w:type="spellStart"/>
      <w:r w:rsidR="00FD51C6">
        <w:t>t</w:t>
      </w:r>
      <w:r>
        <w:t>argets</w:t>
      </w:r>
      <w:proofErr w:type="spellEnd"/>
      <w:r w:rsidR="00FD51C6">
        <w:t xml:space="preserve"> pour la Commission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0CD"/>
    <w:multiLevelType w:val="hybridMultilevel"/>
    <w:tmpl w:val="E294E05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153E89"/>
    <w:multiLevelType w:val="hybridMultilevel"/>
    <w:tmpl w:val="12A8FA2C"/>
    <w:lvl w:ilvl="0" w:tplc="1B1A203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B7569B"/>
    <w:multiLevelType w:val="hybridMultilevel"/>
    <w:tmpl w:val="F4C26DF8"/>
    <w:lvl w:ilvl="0" w:tplc="122C687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085FDA"/>
    <w:multiLevelType w:val="hybridMultilevel"/>
    <w:tmpl w:val="2738E25C"/>
    <w:lvl w:ilvl="0" w:tplc="080C000F">
      <w:start w:val="1"/>
      <w:numFmt w:val="decimal"/>
      <w:lvlText w:val="%1."/>
      <w:lvlJc w:val="left"/>
      <w:pPr>
        <w:ind w:left="360" w:hanging="360"/>
      </w:pPr>
      <w:rPr>
        <w:rFonts w:hint="default"/>
      </w:rPr>
    </w:lvl>
    <w:lvl w:ilvl="1" w:tplc="7BFE49B0">
      <w:start w:val="1"/>
      <w:numFmt w:val="upperLetter"/>
      <w:lvlText w:val="%2."/>
      <w:lvlJc w:val="left"/>
      <w:pPr>
        <w:ind w:left="1080" w:hanging="360"/>
      </w:pPr>
      <w:rPr>
        <w:rFonts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12C53B59"/>
    <w:multiLevelType w:val="hybridMultilevel"/>
    <w:tmpl w:val="2DD81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90B5E15"/>
    <w:multiLevelType w:val="hybridMultilevel"/>
    <w:tmpl w:val="2C9CD3CE"/>
    <w:lvl w:ilvl="0" w:tplc="6534ED70">
      <w:start w:val="1"/>
      <w:numFmt w:val="bullet"/>
      <w:lvlText w:val=""/>
      <w:lvlJc w:val="left"/>
      <w:pPr>
        <w:tabs>
          <w:tab w:val="num" w:pos="720"/>
        </w:tabs>
        <w:ind w:left="720" w:hanging="360"/>
      </w:pPr>
      <w:rPr>
        <w:rFonts w:ascii="Symbol" w:hAnsi="Symbol" w:hint="default"/>
        <w:sz w:val="20"/>
      </w:rPr>
    </w:lvl>
    <w:lvl w:ilvl="1" w:tplc="8358344E" w:tentative="1">
      <w:start w:val="1"/>
      <w:numFmt w:val="bullet"/>
      <w:lvlText w:val=""/>
      <w:lvlJc w:val="left"/>
      <w:pPr>
        <w:tabs>
          <w:tab w:val="num" w:pos="1440"/>
        </w:tabs>
        <w:ind w:left="1440" w:hanging="360"/>
      </w:pPr>
      <w:rPr>
        <w:rFonts w:ascii="Symbol" w:hAnsi="Symbol" w:hint="default"/>
        <w:sz w:val="20"/>
      </w:rPr>
    </w:lvl>
    <w:lvl w:ilvl="2" w:tplc="E4C041B2" w:tentative="1">
      <w:start w:val="1"/>
      <w:numFmt w:val="bullet"/>
      <w:lvlText w:val=""/>
      <w:lvlJc w:val="left"/>
      <w:pPr>
        <w:tabs>
          <w:tab w:val="num" w:pos="2160"/>
        </w:tabs>
        <w:ind w:left="2160" w:hanging="360"/>
      </w:pPr>
      <w:rPr>
        <w:rFonts w:ascii="Symbol" w:hAnsi="Symbol" w:hint="default"/>
        <w:sz w:val="20"/>
      </w:rPr>
    </w:lvl>
    <w:lvl w:ilvl="3" w:tplc="BB30A8D2" w:tentative="1">
      <w:start w:val="1"/>
      <w:numFmt w:val="bullet"/>
      <w:lvlText w:val=""/>
      <w:lvlJc w:val="left"/>
      <w:pPr>
        <w:tabs>
          <w:tab w:val="num" w:pos="2880"/>
        </w:tabs>
        <w:ind w:left="2880" w:hanging="360"/>
      </w:pPr>
      <w:rPr>
        <w:rFonts w:ascii="Symbol" w:hAnsi="Symbol" w:hint="default"/>
        <w:sz w:val="20"/>
      </w:rPr>
    </w:lvl>
    <w:lvl w:ilvl="4" w:tplc="1D4E81DA" w:tentative="1">
      <w:start w:val="1"/>
      <w:numFmt w:val="bullet"/>
      <w:lvlText w:val=""/>
      <w:lvlJc w:val="left"/>
      <w:pPr>
        <w:tabs>
          <w:tab w:val="num" w:pos="3600"/>
        </w:tabs>
        <w:ind w:left="3600" w:hanging="360"/>
      </w:pPr>
      <w:rPr>
        <w:rFonts w:ascii="Symbol" w:hAnsi="Symbol" w:hint="default"/>
        <w:sz w:val="20"/>
      </w:rPr>
    </w:lvl>
    <w:lvl w:ilvl="5" w:tplc="0448AD38" w:tentative="1">
      <w:start w:val="1"/>
      <w:numFmt w:val="bullet"/>
      <w:lvlText w:val=""/>
      <w:lvlJc w:val="left"/>
      <w:pPr>
        <w:tabs>
          <w:tab w:val="num" w:pos="4320"/>
        </w:tabs>
        <w:ind w:left="4320" w:hanging="360"/>
      </w:pPr>
      <w:rPr>
        <w:rFonts w:ascii="Symbol" w:hAnsi="Symbol" w:hint="default"/>
        <w:sz w:val="20"/>
      </w:rPr>
    </w:lvl>
    <w:lvl w:ilvl="6" w:tplc="B5D43028" w:tentative="1">
      <w:start w:val="1"/>
      <w:numFmt w:val="bullet"/>
      <w:lvlText w:val=""/>
      <w:lvlJc w:val="left"/>
      <w:pPr>
        <w:tabs>
          <w:tab w:val="num" w:pos="5040"/>
        </w:tabs>
        <w:ind w:left="5040" w:hanging="360"/>
      </w:pPr>
      <w:rPr>
        <w:rFonts w:ascii="Symbol" w:hAnsi="Symbol" w:hint="default"/>
        <w:sz w:val="20"/>
      </w:rPr>
    </w:lvl>
    <w:lvl w:ilvl="7" w:tplc="F5F44092" w:tentative="1">
      <w:start w:val="1"/>
      <w:numFmt w:val="bullet"/>
      <w:lvlText w:val=""/>
      <w:lvlJc w:val="left"/>
      <w:pPr>
        <w:tabs>
          <w:tab w:val="num" w:pos="5760"/>
        </w:tabs>
        <w:ind w:left="5760" w:hanging="360"/>
      </w:pPr>
      <w:rPr>
        <w:rFonts w:ascii="Symbol" w:hAnsi="Symbol" w:hint="default"/>
        <w:sz w:val="20"/>
      </w:rPr>
    </w:lvl>
    <w:lvl w:ilvl="8" w:tplc="87D0BB4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C1400"/>
    <w:multiLevelType w:val="hybridMultilevel"/>
    <w:tmpl w:val="E086F2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B036961"/>
    <w:multiLevelType w:val="hybridMultilevel"/>
    <w:tmpl w:val="2FEA949C"/>
    <w:lvl w:ilvl="0" w:tplc="1DB04D84">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272278D4"/>
    <w:multiLevelType w:val="hybridMultilevel"/>
    <w:tmpl w:val="48429884"/>
    <w:lvl w:ilvl="0" w:tplc="C250E964">
      <w:start w:val="1"/>
      <w:numFmt w:val="upperRoman"/>
      <w:lvlText w:val="%1."/>
      <w:lvlJc w:val="left"/>
      <w:pPr>
        <w:ind w:left="1146" w:hanging="72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9" w15:restartNumberingAfterBreak="0">
    <w:nsid w:val="2CF44FE9"/>
    <w:multiLevelType w:val="hybridMultilevel"/>
    <w:tmpl w:val="0632F1CE"/>
    <w:lvl w:ilvl="0" w:tplc="5992B93E">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3F4F7AAE"/>
    <w:multiLevelType w:val="hybridMultilevel"/>
    <w:tmpl w:val="5A6C3804"/>
    <w:lvl w:ilvl="0" w:tplc="92D8E3D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45F2B83"/>
    <w:multiLevelType w:val="hybridMultilevel"/>
    <w:tmpl w:val="EB908CC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48A94554"/>
    <w:multiLevelType w:val="hybridMultilevel"/>
    <w:tmpl w:val="BA82B7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B140706"/>
    <w:multiLevelType w:val="hybridMultilevel"/>
    <w:tmpl w:val="7BE6C674"/>
    <w:lvl w:ilvl="0" w:tplc="080C000F">
      <w:start w:val="1"/>
      <w:numFmt w:val="decimal"/>
      <w:lvlText w:val="%1."/>
      <w:lvlJc w:val="left"/>
      <w:pPr>
        <w:ind w:left="360" w:hanging="360"/>
      </w:pPr>
    </w:lvl>
    <w:lvl w:ilvl="1" w:tplc="080C000F">
      <w:start w:val="1"/>
      <w:numFmt w:val="decimal"/>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4E427896"/>
    <w:multiLevelType w:val="hybridMultilevel"/>
    <w:tmpl w:val="8298934C"/>
    <w:lvl w:ilvl="0" w:tplc="2A02058E">
      <w:start w:val="1"/>
      <w:numFmt w:val="decimal"/>
      <w:lvlText w:val="%1."/>
      <w:lvlJc w:val="left"/>
      <w:pPr>
        <w:ind w:left="1206" w:hanging="360"/>
      </w:pPr>
      <w:rPr>
        <w:rFonts w:hint="default"/>
      </w:rPr>
    </w:lvl>
    <w:lvl w:ilvl="1" w:tplc="080C0019" w:tentative="1">
      <w:start w:val="1"/>
      <w:numFmt w:val="lowerLetter"/>
      <w:lvlText w:val="%2."/>
      <w:lvlJc w:val="left"/>
      <w:pPr>
        <w:ind w:left="1926" w:hanging="360"/>
      </w:pPr>
    </w:lvl>
    <w:lvl w:ilvl="2" w:tplc="080C001B" w:tentative="1">
      <w:start w:val="1"/>
      <w:numFmt w:val="lowerRoman"/>
      <w:lvlText w:val="%3."/>
      <w:lvlJc w:val="right"/>
      <w:pPr>
        <w:ind w:left="2646" w:hanging="180"/>
      </w:pPr>
    </w:lvl>
    <w:lvl w:ilvl="3" w:tplc="080C000F" w:tentative="1">
      <w:start w:val="1"/>
      <w:numFmt w:val="decimal"/>
      <w:lvlText w:val="%4."/>
      <w:lvlJc w:val="left"/>
      <w:pPr>
        <w:ind w:left="3366" w:hanging="360"/>
      </w:pPr>
    </w:lvl>
    <w:lvl w:ilvl="4" w:tplc="080C0019" w:tentative="1">
      <w:start w:val="1"/>
      <w:numFmt w:val="lowerLetter"/>
      <w:lvlText w:val="%5."/>
      <w:lvlJc w:val="left"/>
      <w:pPr>
        <w:ind w:left="4086" w:hanging="360"/>
      </w:pPr>
    </w:lvl>
    <w:lvl w:ilvl="5" w:tplc="080C001B" w:tentative="1">
      <w:start w:val="1"/>
      <w:numFmt w:val="lowerRoman"/>
      <w:lvlText w:val="%6."/>
      <w:lvlJc w:val="right"/>
      <w:pPr>
        <w:ind w:left="4806" w:hanging="180"/>
      </w:pPr>
    </w:lvl>
    <w:lvl w:ilvl="6" w:tplc="080C000F" w:tentative="1">
      <w:start w:val="1"/>
      <w:numFmt w:val="decimal"/>
      <w:lvlText w:val="%7."/>
      <w:lvlJc w:val="left"/>
      <w:pPr>
        <w:ind w:left="5526" w:hanging="360"/>
      </w:pPr>
    </w:lvl>
    <w:lvl w:ilvl="7" w:tplc="080C0019" w:tentative="1">
      <w:start w:val="1"/>
      <w:numFmt w:val="lowerLetter"/>
      <w:lvlText w:val="%8."/>
      <w:lvlJc w:val="left"/>
      <w:pPr>
        <w:ind w:left="6246" w:hanging="360"/>
      </w:pPr>
    </w:lvl>
    <w:lvl w:ilvl="8" w:tplc="080C001B" w:tentative="1">
      <w:start w:val="1"/>
      <w:numFmt w:val="lowerRoman"/>
      <w:lvlText w:val="%9."/>
      <w:lvlJc w:val="right"/>
      <w:pPr>
        <w:ind w:left="6966" w:hanging="180"/>
      </w:pPr>
    </w:lvl>
  </w:abstractNum>
  <w:abstractNum w:abstractNumId="15" w15:restartNumberingAfterBreak="0">
    <w:nsid w:val="513C3569"/>
    <w:multiLevelType w:val="hybridMultilevel"/>
    <w:tmpl w:val="7F204D0E"/>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ACB6D07"/>
    <w:multiLevelType w:val="hybridMultilevel"/>
    <w:tmpl w:val="FB8E1278"/>
    <w:lvl w:ilvl="0" w:tplc="876A98C8">
      <w:start w:val="1"/>
      <w:numFmt w:val="decimal"/>
      <w:lvlText w:val="%1."/>
      <w:lvlJc w:val="left"/>
      <w:pPr>
        <w:ind w:left="360" w:hanging="360"/>
      </w:pPr>
      <w:rPr>
        <w:rFonts w:hint="default"/>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17" w15:restartNumberingAfterBreak="0">
    <w:nsid w:val="683D438C"/>
    <w:multiLevelType w:val="hybridMultilevel"/>
    <w:tmpl w:val="1A14E090"/>
    <w:lvl w:ilvl="0" w:tplc="E84EBD9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B4B6FFC"/>
    <w:multiLevelType w:val="multilevel"/>
    <w:tmpl w:val="F3408160"/>
    <w:lvl w:ilvl="0">
      <w:start w:val="1"/>
      <w:numFmt w:val="upperRoman"/>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9" w15:restartNumberingAfterBreak="0">
    <w:nsid w:val="6F2227DE"/>
    <w:multiLevelType w:val="hybridMultilevel"/>
    <w:tmpl w:val="58CCF9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num>
  <w:num w:numId="4">
    <w:abstractNumId w:val="0"/>
  </w:num>
  <w:num w:numId="5">
    <w:abstractNumId w:val="11"/>
  </w:num>
  <w:num w:numId="6">
    <w:abstractNumId w:val="8"/>
  </w:num>
  <w:num w:numId="7">
    <w:abstractNumId w:val="14"/>
  </w:num>
  <w:num w:numId="8">
    <w:abstractNumId w:val="9"/>
  </w:num>
  <w:num w:numId="9">
    <w:abstractNumId w:val="5"/>
  </w:num>
  <w:num w:numId="10">
    <w:abstractNumId w:val="3"/>
  </w:num>
  <w:num w:numId="11">
    <w:abstractNumId w:val="15"/>
  </w:num>
  <w:num w:numId="12">
    <w:abstractNumId w:val="13"/>
  </w:num>
  <w:num w:numId="13">
    <w:abstractNumId w:val="16"/>
  </w:num>
  <w:num w:numId="14">
    <w:abstractNumId w:val="19"/>
  </w:num>
  <w:num w:numId="15">
    <w:abstractNumId w:val="2"/>
  </w:num>
  <w:num w:numId="16">
    <w:abstractNumId w:val="7"/>
  </w:num>
  <w:num w:numId="17">
    <w:abstractNumId w:val="17"/>
  </w:num>
  <w:num w:numId="18">
    <w:abstractNumId w:val="12"/>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A6"/>
    <w:rsid w:val="00000CBF"/>
    <w:rsid w:val="000045E4"/>
    <w:rsid w:val="000056CC"/>
    <w:rsid w:val="00005F5A"/>
    <w:rsid w:val="00007F49"/>
    <w:rsid w:val="00013EF3"/>
    <w:rsid w:val="00014478"/>
    <w:rsid w:val="00016AB4"/>
    <w:rsid w:val="00020240"/>
    <w:rsid w:val="00021D01"/>
    <w:rsid w:val="00030FA3"/>
    <w:rsid w:val="000379A3"/>
    <w:rsid w:val="0004404E"/>
    <w:rsid w:val="00046B5F"/>
    <w:rsid w:val="0005201B"/>
    <w:rsid w:val="00053DC7"/>
    <w:rsid w:val="000544F5"/>
    <w:rsid w:val="00062CDE"/>
    <w:rsid w:val="00080503"/>
    <w:rsid w:val="000921D4"/>
    <w:rsid w:val="00096CEF"/>
    <w:rsid w:val="000A0DFA"/>
    <w:rsid w:val="000A2EB8"/>
    <w:rsid w:val="000A40EE"/>
    <w:rsid w:val="000A44AF"/>
    <w:rsid w:val="000A541A"/>
    <w:rsid w:val="000A5A26"/>
    <w:rsid w:val="000B13DF"/>
    <w:rsid w:val="000B21DC"/>
    <w:rsid w:val="000B3EE1"/>
    <w:rsid w:val="000B4154"/>
    <w:rsid w:val="000B65A9"/>
    <w:rsid w:val="000B7866"/>
    <w:rsid w:val="000C226A"/>
    <w:rsid w:val="000D77F6"/>
    <w:rsid w:val="000E2149"/>
    <w:rsid w:val="000E4290"/>
    <w:rsid w:val="000F118C"/>
    <w:rsid w:val="0010485B"/>
    <w:rsid w:val="00106228"/>
    <w:rsid w:val="00106632"/>
    <w:rsid w:val="00114B5B"/>
    <w:rsid w:val="001164E6"/>
    <w:rsid w:val="001258B9"/>
    <w:rsid w:val="00130B55"/>
    <w:rsid w:val="00130CEB"/>
    <w:rsid w:val="001321B0"/>
    <w:rsid w:val="001322FD"/>
    <w:rsid w:val="00132A5B"/>
    <w:rsid w:val="00136E08"/>
    <w:rsid w:val="00154B61"/>
    <w:rsid w:val="00156449"/>
    <w:rsid w:val="00165190"/>
    <w:rsid w:val="00165591"/>
    <w:rsid w:val="00170BC3"/>
    <w:rsid w:val="00171999"/>
    <w:rsid w:val="0017549F"/>
    <w:rsid w:val="00177B0C"/>
    <w:rsid w:val="00183F08"/>
    <w:rsid w:val="00195F71"/>
    <w:rsid w:val="00195F9C"/>
    <w:rsid w:val="001970CB"/>
    <w:rsid w:val="00197857"/>
    <w:rsid w:val="001A7472"/>
    <w:rsid w:val="001A793B"/>
    <w:rsid w:val="001A79DA"/>
    <w:rsid w:val="001B0087"/>
    <w:rsid w:val="001B188A"/>
    <w:rsid w:val="001C2A7E"/>
    <w:rsid w:val="001C426D"/>
    <w:rsid w:val="001D3966"/>
    <w:rsid w:val="001D45FD"/>
    <w:rsid w:val="001E3F10"/>
    <w:rsid w:val="001E6F50"/>
    <w:rsid w:val="001E7B28"/>
    <w:rsid w:val="001F02AB"/>
    <w:rsid w:val="001F226D"/>
    <w:rsid w:val="001F4084"/>
    <w:rsid w:val="001F47F1"/>
    <w:rsid w:val="001F4885"/>
    <w:rsid w:val="00204828"/>
    <w:rsid w:val="00205299"/>
    <w:rsid w:val="002070BB"/>
    <w:rsid w:val="002100FF"/>
    <w:rsid w:val="00210E98"/>
    <w:rsid w:val="00212089"/>
    <w:rsid w:val="0021365A"/>
    <w:rsid w:val="00217B83"/>
    <w:rsid w:val="00223322"/>
    <w:rsid w:val="00223931"/>
    <w:rsid w:val="00231435"/>
    <w:rsid w:val="00233451"/>
    <w:rsid w:val="002379B9"/>
    <w:rsid w:val="00243FFF"/>
    <w:rsid w:val="00246E23"/>
    <w:rsid w:val="00250D0A"/>
    <w:rsid w:val="0026297E"/>
    <w:rsid w:val="0026516B"/>
    <w:rsid w:val="002720DC"/>
    <w:rsid w:val="00273447"/>
    <w:rsid w:val="00277E7A"/>
    <w:rsid w:val="002815DC"/>
    <w:rsid w:val="00287CE0"/>
    <w:rsid w:val="00290149"/>
    <w:rsid w:val="00293D8E"/>
    <w:rsid w:val="002954AA"/>
    <w:rsid w:val="00297137"/>
    <w:rsid w:val="00297DD0"/>
    <w:rsid w:val="002B11C3"/>
    <w:rsid w:val="002B69B0"/>
    <w:rsid w:val="002C04A0"/>
    <w:rsid w:val="002C0D6C"/>
    <w:rsid w:val="002C2F2F"/>
    <w:rsid w:val="002C63F6"/>
    <w:rsid w:val="002C792D"/>
    <w:rsid w:val="002C7F8B"/>
    <w:rsid w:val="002D5619"/>
    <w:rsid w:val="002D64BF"/>
    <w:rsid w:val="002D79F9"/>
    <w:rsid w:val="002E3373"/>
    <w:rsid w:val="002E3FF9"/>
    <w:rsid w:val="002F24D4"/>
    <w:rsid w:val="002F323E"/>
    <w:rsid w:val="003025E6"/>
    <w:rsid w:val="00305E6A"/>
    <w:rsid w:val="00311909"/>
    <w:rsid w:val="003140B9"/>
    <w:rsid w:val="00314F12"/>
    <w:rsid w:val="00324E61"/>
    <w:rsid w:val="00327D33"/>
    <w:rsid w:val="003331CD"/>
    <w:rsid w:val="00335B69"/>
    <w:rsid w:val="003413B2"/>
    <w:rsid w:val="0034360D"/>
    <w:rsid w:val="003442C1"/>
    <w:rsid w:val="0034446F"/>
    <w:rsid w:val="003467E8"/>
    <w:rsid w:val="003519A9"/>
    <w:rsid w:val="00353FF4"/>
    <w:rsid w:val="003557C5"/>
    <w:rsid w:val="00357A37"/>
    <w:rsid w:val="00360529"/>
    <w:rsid w:val="003631C2"/>
    <w:rsid w:val="00377476"/>
    <w:rsid w:val="00377A5B"/>
    <w:rsid w:val="0038415A"/>
    <w:rsid w:val="003846F9"/>
    <w:rsid w:val="003865FE"/>
    <w:rsid w:val="00397E64"/>
    <w:rsid w:val="003A07DB"/>
    <w:rsid w:val="003A3FD1"/>
    <w:rsid w:val="003A4A76"/>
    <w:rsid w:val="003A520D"/>
    <w:rsid w:val="003A57DD"/>
    <w:rsid w:val="003A77BA"/>
    <w:rsid w:val="003A7DD9"/>
    <w:rsid w:val="003B003E"/>
    <w:rsid w:val="003B5880"/>
    <w:rsid w:val="003C7A76"/>
    <w:rsid w:val="003D2E96"/>
    <w:rsid w:val="003D554F"/>
    <w:rsid w:val="003D7FBB"/>
    <w:rsid w:val="003E64ED"/>
    <w:rsid w:val="003E7491"/>
    <w:rsid w:val="003E7DDF"/>
    <w:rsid w:val="003F335D"/>
    <w:rsid w:val="003F746F"/>
    <w:rsid w:val="004025EA"/>
    <w:rsid w:val="00402BCC"/>
    <w:rsid w:val="00403F9F"/>
    <w:rsid w:val="004040BF"/>
    <w:rsid w:val="00405CB9"/>
    <w:rsid w:val="00410F03"/>
    <w:rsid w:val="00412E06"/>
    <w:rsid w:val="00417711"/>
    <w:rsid w:val="00420053"/>
    <w:rsid w:val="00424F32"/>
    <w:rsid w:val="0042592E"/>
    <w:rsid w:val="004302BD"/>
    <w:rsid w:val="00435AA8"/>
    <w:rsid w:val="004443A8"/>
    <w:rsid w:val="00447C4E"/>
    <w:rsid w:val="00450B85"/>
    <w:rsid w:val="00452A93"/>
    <w:rsid w:val="00454F6E"/>
    <w:rsid w:val="00460414"/>
    <w:rsid w:val="00461AE0"/>
    <w:rsid w:val="004679BB"/>
    <w:rsid w:val="00467D6C"/>
    <w:rsid w:val="00473589"/>
    <w:rsid w:val="00483A43"/>
    <w:rsid w:val="00484A13"/>
    <w:rsid w:val="0048521C"/>
    <w:rsid w:val="0048768E"/>
    <w:rsid w:val="00490136"/>
    <w:rsid w:val="0049410C"/>
    <w:rsid w:val="0049532E"/>
    <w:rsid w:val="00497824"/>
    <w:rsid w:val="004A26AB"/>
    <w:rsid w:val="004A2A93"/>
    <w:rsid w:val="004C2280"/>
    <w:rsid w:val="004C379E"/>
    <w:rsid w:val="004C5BB9"/>
    <w:rsid w:val="004D1575"/>
    <w:rsid w:val="004D539D"/>
    <w:rsid w:val="004D57DA"/>
    <w:rsid w:val="004D64C6"/>
    <w:rsid w:val="004E1D3E"/>
    <w:rsid w:val="004E3463"/>
    <w:rsid w:val="004E799D"/>
    <w:rsid w:val="004F0A49"/>
    <w:rsid w:val="004F1909"/>
    <w:rsid w:val="004F255A"/>
    <w:rsid w:val="004F279F"/>
    <w:rsid w:val="004F2B54"/>
    <w:rsid w:val="004F4042"/>
    <w:rsid w:val="00502BAC"/>
    <w:rsid w:val="00504764"/>
    <w:rsid w:val="00510A88"/>
    <w:rsid w:val="00513C2C"/>
    <w:rsid w:val="00517105"/>
    <w:rsid w:val="005221B7"/>
    <w:rsid w:val="0053483B"/>
    <w:rsid w:val="00535DF8"/>
    <w:rsid w:val="00541315"/>
    <w:rsid w:val="00541C0A"/>
    <w:rsid w:val="005438DE"/>
    <w:rsid w:val="0054488C"/>
    <w:rsid w:val="00544F68"/>
    <w:rsid w:val="0055171D"/>
    <w:rsid w:val="005521E9"/>
    <w:rsid w:val="005541D9"/>
    <w:rsid w:val="00555DAD"/>
    <w:rsid w:val="005566CB"/>
    <w:rsid w:val="00561094"/>
    <w:rsid w:val="00566480"/>
    <w:rsid w:val="005713D2"/>
    <w:rsid w:val="00573883"/>
    <w:rsid w:val="00580DFE"/>
    <w:rsid w:val="005846D8"/>
    <w:rsid w:val="00585FCF"/>
    <w:rsid w:val="005936AD"/>
    <w:rsid w:val="005936AE"/>
    <w:rsid w:val="00594F9E"/>
    <w:rsid w:val="00596BA2"/>
    <w:rsid w:val="005A170E"/>
    <w:rsid w:val="005A1DE3"/>
    <w:rsid w:val="005B43DF"/>
    <w:rsid w:val="005B70B3"/>
    <w:rsid w:val="005C3B4D"/>
    <w:rsid w:val="005C5E31"/>
    <w:rsid w:val="005E19B9"/>
    <w:rsid w:val="005E19FC"/>
    <w:rsid w:val="005E3049"/>
    <w:rsid w:val="005E32E2"/>
    <w:rsid w:val="005E65C1"/>
    <w:rsid w:val="005E6629"/>
    <w:rsid w:val="005F49D4"/>
    <w:rsid w:val="00601EB4"/>
    <w:rsid w:val="00604624"/>
    <w:rsid w:val="00613FE6"/>
    <w:rsid w:val="00614D82"/>
    <w:rsid w:val="00621289"/>
    <w:rsid w:val="00622794"/>
    <w:rsid w:val="00623FEC"/>
    <w:rsid w:val="006271DE"/>
    <w:rsid w:val="00631936"/>
    <w:rsid w:val="00632E09"/>
    <w:rsid w:val="006347A1"/>
    <w:rsid w:val="00635D87"/>
    <w:rsid w:val="00635EBF"/>
    <w:rsid w:val="0064013A"/>
    <w:rsid w:val="006428CE"/>
    <w:rsid w:val="006429BA"/>
    <w:rsid w:val="006431E7"/>
    <w:rsid w:val="00646C78"/>
    <w:rsid w:val="0064738D"/>
    <w:rsid w:val="00650FDF"/>
    <w:rsid w:val="00653B61"/>
    <w:rsid w:val="00656232"/>
    <w:rsid w:val="00660E25"/>
    <w:rsid w:val="006619AA"/>
    <w:rsid w:val="00664911"/>
    <w:rsid w:val="006677B0"/>
    <w:rsid w:val="006757F8"/>
    <w:rsid w:val="00680D93"/>
    <w:rsid w:val="00680EAB"/>
    <w:rsid w:val="00681766"/>
    <w:rsid w:val="00681A80"/>
    <w:rsid w:val="00681C78"/>
    <w:rsid w:val="00683EEC"/>
    <w:rsid w:val="00690318"/>
    <w:rsid w:val="006912DB"/>
    <w:rsid w:val="00693F49"/>
    <w:rsid w:val="0069423C"/>
    <w:rsid w:val="006961C5"/>
    <w:rsid w:val="006A0769"/>
    <w:rsid w:val="006A1395"/>
    <w:rsid w:val="006A2B9A"/>
    <w:rsid w:val="006A51DF"/>
    <w:rsid w:val="006A5CF5"/>
    <w:rsid w:val="006B28C8"/>
    <w:rsid w:val="006B3045"/>
    <w:rsid w:val="006B5AC6"/>
    <w:rsid w:val="006C4717"/>
    <w:rsid w:val="006C7012"/>
    <w:rsid w:val="006D374E"/>
    <w:rsid w:val="006D406A"/>
    <w:rsid w:val="006E5744"/>
    <w:rsid w:val="006E5AC7"/>
    <w:rsid w:val="006E7313"/>
    <w:rsid w:val="00700287"/>
    <w:rsid w:val="00703B76"/>
    <w:rsid w:val="00703F0E"/>
    <w:rsid w:val="00704C95"/>
    <w:rsid w:val="007050BB"/>
    <w:rsid w:val="00705585"/>
    <w:rsid w:val="00705C24"/>
    <w:rsid w:val="00705D4C"/>
    <w:rsid w:val="007060B6"/>
    <w:rsid w:val="00713A2D"/>
    <w:rsid w:val="00713B96"/>
    <w:rsid w:val="00715061"/>
    <w:rsid w:val="007205A2"/>
    <w:rsid w:val="0072157E"/>
    <w:rsid w:val="00725F69"/>
    <w:rsid w:val="00733BD5"/>
    <w:rsid w:val="00734D95"/>
    <w:rsid w:val="007429A4"/>
    <w:rsid w:val="007560B1"/>
    <w:rsid w:val="007606D0"/>
    <w:rsid w:val="00771BE5"/>
    <w:rsid w:val="0077549F"/>
    <w:rsid w:val="00776F56"/>
    <w:rsid w:val="00777353"/>
    <w:rsid w:val="00785633"/>
    <w:rsid w:val="00790CEF"/>
    <w:rsid w:val="00794FDA"/>
    <w:rsid w:val="00795DD3"/>
    <w:rsid w:val="007A0C79"/>
    <w:rsid w:val="007A0EE7"/>
    <w:rsid w:val="007A1D1E"/>
    <w:rsid w:val="007A3050"/>
    <w:rsid w:val="007A46DE"/>
    <w:rsid w:val="007B2506"/>
    <w:rsid w:val="007B2E0D"/>
    <w:rsid w:val="007B3394"/>
    <w:rsid w:val="007C0930"/>
    <w:rsid w:val="007C50DF"/>
    <w:rsid w:val="007C6316"/>
    <w:rsid w:val="007C6A2E"/>
    <w:rsid w:val="007D46C0"/>
    <w:rsid w:val="007E30F6"/>
    <w:rsid w:val="007E58AF"/>
    <w:rsid w:val="007F0BDF"/>
    <w:rsid w:val="00804186"/>
    <w:rsid w:val="008048D0"/>
    <w:rsid w:val="008049DF"/>
    <w:rsid w:val="00807748"/>
    <w:rsid w:val="0081430B"/>
    <w:rsid w:val="00814B51"/>
    <w:rsid w:val="00815641"/>
    <w:rsid w:val="008161D5"/>
    <w:rsid w:val="0081646E"/>
    <w:rsid w:val="00816F70"/>
    <w:rsid w:val="00821BB0"/>
    <w:rsid w:val="00823C6B"/>
    <w:rsid w:val="00824CC5"/>
    <w:rsid w:val="0082545A"/>
    <w:rsid w:val="008263C3"/>
    <w:rsid w:val="008275BF"/>
    <w:rsid w:val="00833572"/>
    <w:rsid w:val="00835C05"/>
    <w:rsid w:val="008363B5"/>
    <w:rsid w:val="00841B97"/>
    <w:rsid w:val="0085082E"/>
    <w:rsid w:val="00851268"/>
    <w:rsid w:val="00852E25"/>
    <w:rsid w:val="0087182B"/>
    <w:rsid w:val="0087484C"/>
    <w:rsid w:val="008778EA"/>
    <w:rsid w:val="00884980"/>
    <w:rsid w:val="00885EF3"/>
    <w:rsid w:val="008869E0"/>
    <w:rsid w:val="00886F1F"/>
    <w:rsid w:val="00893C4B"/>
    <w:rsid w:val="00897E07"/>
    <w:rsid w:val="008B246B"/>
    <w:rsid w:val="008B4EB5"/>
    <w:rsid w:val="008B557C"/>
    <w:rsid w:val="008C18FE"/>
    <w:rsid w:val="008C5061"/>
    <w:rsid w:val="008D06E4"/>
    <w:rsid w:val="008D0C27"/>
    <w:rsid w:val="008E1085"/>
    <w:rsid w:val="008F374F"/>
    <w:rsid w:val="008F39CB"/>
    <w:rsid w:val="008F7C9E"/>
    <w:rsid w:val="0090164B"/>
    <w:rsid w:val="00903553"/>
    <w:rsid w:val="009041C3"/>
    <w:rsid w:val="00904378"/>
    <w:rsid w:val="00906BA1"/>
    <w:rsid w:val="00907722"/>
    <w:rsid w:val="00914098"/>
    <w:rsid w:val="00915E9E"/>
    <w:rsid w:val="00917172"/>
    <w:rsid w:val="00921593"/>
    <w:rsid w:val="009328BA"/>
    <w:rsid w:val="00935303"/>
    <w:rsid w:val="00941ADC"/>
    <w:rsid w:val="00943FBA"/>
    <w:rsid w:val="00944031"/>
    <w:rsid w:val="009530E9"/>
    <w:rsid w:val="00960146"/>
    <w:rsid w:val="00962A17"/>
    <w:rsid w:val="00963353"/>
    <w:rsid w:val="00965720"/>
    <w:rsid w:val="00966767"/>
    <w:rsid w:val="00966DA4"/>
    <w:rsid w:val="0097711D"/>
    <w:rsid w:val="0098259E"/>
    <w:rsid w:val="0098482D"/>
    <w:rsid w:val="00986BA8"/>
    <w:rsid w:val="00986F61"/>
    <w:rsid w:val="009965AD"/>
    <w:rsid w:val="009A0CF0"/>
    <w:rsid w:val="009A1451"/>
    <w:rsid w:val="009A1B93"/>
    <w:rsid w:val="009A23CB"/>
    <w:rsid w:val="009C2ED4"/>
    <w:rsid w:val="009D13B0"/>
    <w:rsid w:val="009E038E"/>
    <w:rsid w:val="009E0561"/>
    <w:rsid w:val="009E09A6"/>
    <w:rsid w:val="009E357C"/>
    <w:rsid w:val="009E50CB"/>
    <w:rsid w:val="009E5346"/>
    <w:rsid w:val="009F1FD7"/>
    <w:rsid w:val="009F200E"/>
    <w:rsid w:val="009F4F85"/>
    <w:rsid w:val="009F6563"/>
    <w:rsid w:val="009F71CF"/>
    <w:rsid w:val="00A02A85"/>
    <w:rsid w:val="00A02CA1"/>
    <w:rsid w:val="00A1180B"/>
    <w:rsid w:val="00A13F58"/>
    <w:rsid w:val="00A240D6"/>
    <w:rsid w:val="00A37E9D"/>
    <w:rsid w:val="00A42504"/>
    <w:rsid w:val="00A57990"/>
    <w:rsid w:val="00A60C32"/>
    <w:rsid w:val="00A61D87"/>
    <w:rsid w:val="00A64F73"/>
    <w:rsid w:val="00A70B2E"/>
    <w:rsid w:val="00A72028"/>
    <w:rsid w:val="00A76039"/>
    <w:rsid w:val="00A84B41"/>
    <w:rsid w:val="00A84EF2"/>
    <w:rsid w:val="00A90521"/>
    <w:rsid w:val="00A91515"/>
    <w:rsid w:val="00A92748"/>
    <w:rsid w:val="00AA0657"/>
    <w:rsid w:val="00AA1959"/>
    <w:rsid w:val="00AA7FF1"/>
    <w:rsid w:val="00AB06BB"/>
    <w:rsid w:val="00AB0C27"/>
    <w:rsid w:val="00AB1A72"/>
    <w:rsid w:val="00AB4E4D"/>
    <w:rsid w:val="00AB5A0E"/>
    <w:rsid w:val="00AC5BB9"/>
    <w:rsid w:val="00AC7DD7"/>
    <w:rsid w:val="00AD0B8C"/>
    <w:rsid w:val="00AD112D"/>
    <w:rsid w:val="00AD3CD8"/>
    <w:rsid w:val="00AD509C"/>
    <w:rsid w:val="00AE01DB"/>
    <w:rsid w:val="00AE0AFE"/>
    <w:rsid w:val="00AF60E8"/>
    <w:rsid w:val="00B01014"/>
    <w:rsid w:val="00B05B10"/>
    <w:rsid w:val="00B13755"/>
    <w:rsid w:val="00B15A4C"/>
    <w:rsid w:val="00B200B9"/>
    <w:rsid w:val="00B221BD"/>
    <w:rsid w:val="00B262BF"/>
    <w:rsid w:val="00B3185C"/>
    <w:rsid w:val="00B35D45"/>
    <w:rsid w:val="00B40405"/>
    <w:rsid w:val="00B408D7"/>
    <w:rsid w:val="00B42097"/>
    <w:rsid w:val="00B42F47"/>
    <w:rsid w:val="00B44C69"/>
    <w:rsid w:val="00B47F19"/>
    <w:rsid w:val="00B512E2"/>
    <w:rsid w:val="00B578EB"/>
    <w:rsid w:val="00B610D6"/>
    <w:rsid w:val="00B61F04"/>
    <w:rsid w:val="00B64182"/>
    <w:rsid w:val="00B64F6D"/>
    <w:rsid w:val="00B65AB6"/>
    <w:rsid w:val="00B67A67"/>
    <w:rsid w:val="00B830A6"/>
    <w:rsid w:val="00B849C0"/>
    <w:rsid w:val="00B92B52"/>
    <w:rsid w:val="00B9741A"/>
    <w:rsid w:val="00B97B5F"/>
    <w:rsid w:val="00BA39B6"/>
    <w:rsid w:val="00BA46A9"/>
    <w:rsid w:val="00BA562B"/>
    <w:rsid w:val="00BB3B39"/>
    <w:rsid w:val="00BB4B45"/>
    <w:rsid w:val="00BB52C5"/>
    <w:rsid w:val="00BB7246"/>
    <w:rsid w:val="00BC062D"/>
    <w:rsid w:val="00BC4704"/>
    <w:rsid w:val="00BC53D4"/>
    <w:rsid w:val="00BD1146"/>
    <w:rsid w:val="00BD4277"/>
    <w:rsid w:val="00BD48F5"/>
    <w:rsid w:val="00BD52F0"/>
    <w:rsid w:val="00BD784D"/>
    <w:rsid w:val="00BE4869"/>
    <w:rsid w:val="00BE4FC9"/>
    <w:rsid w:val="00BE5C48"/>
    <w:rsid w:val="00BE6BD3"/>
    <w:rsid w:val="00BE74F2"/>
    <w:rsid w:val="00BF04E0"/>
    <w:rsid w:val="00BF2814"/>
    <w:rsid w:val="00BF400B"/>
    <w:rsid w:val="00BF40A3"/>
    <w:rsid w:val="00BF53C0"/>
    <w:rsid w:val="00BF5A59"/>
    <w:rsid w:val="00C02CA6"/>
    <w:rsid w:val="00C03FA5"/>
    <w:rsid w:val="00C046A5"/>
    <w:rsid w:val="00C07BCB"/>
    <w:rsid w:val="00C07C68"/>
    <w:rsid w:val="00C1383C"/>
    <w:rsid w:val="00C1384E"/>
    <w:rsid w:val="00C17284"/>
    <w:rsid w:val="00C23C53"/>
    <w:rsid w:val="00C24FB3"/>
    <w:rsid w:val="00C30E12"/>
    <w:rsid w:val="00C348C1"/>
    <w:rsid w:val="00C35A1C"/>
    <w:rsid w:val="00C37FA9"/>
    <w:rsid w:val="00C561F0"/>
    <w:rsid w:val="00C60A08"/>
    <w:rsid w:val="00C60B02"/>
    <w:rsid w:val="00C63F8A"/>
    <w:rsid w:val="00C6502A"/>
    <w:rsid w:val="00C664A8"/>
    <w:rsid w:val="00C6651D"/>
    <w:rsid w:val="00C71C1B"/>
    <w:rsid w:val="00C72554"/>
    <w:rsid w:val="00C741A8"/>
    <w:rsid w:val="00C744AB"/>
    <w:rsid w:val="00C84192"/>
    <w:rsid w:val="00C858FF"/>
    <w:rsid w:val="00C86254"/>
    <w:rsid w:val="00C92497"/>
    <w:rsid w:val="00C925C5"/>
    <w:rsid w:val="00C938F1"/>
    <w:rsid w:val="00C95CBF"/>
    <w:rsid w:val="00C9713D"/>
    <w:rsid w:val="00CA4092"/>
    <w:rsid w:val="00CB0B42"/>
    <w:rsid w:val="00CB0CA3"/>
    <w:rsid w:val="00CB1472"/>
    <w:rsid w:val="00CB373B"/>
    <w:rsid w:val="00CB580B"/>
    <w:rsid w:val="00CB7AD3"/>
    <w:rsid w:val="00CC30C8"/>
    <w:rsid w:val="00CC33A8"/>
    <w:rsid w:val="00CC5511"/>
    <w:rsid w:val="00CD190D"/>
    <w:rsid w:val="00CD4770"/>
    <w:rsid w:val="00CD628E"/>
    <w:rsid w:val="00CE201F"/>
    <w:rsid w:val="00CE2966"/>
    <w:rsid w:val="00CE2DDD"/>
    <w:rsid w:val="00CE2DFC"/>
    <w:rsid w:val="00CE304F"/>
    <w:rsid w:val="00CE3E5D"/>
    <w:rsid w:val="00CE636E"/>
    <w:rsid w:val="00CF0A74"/>
    <w:rsid w:val="00CF0D15"/>
    <w:rsid w:val="00CF3B5F"/>
    <w:rsid w:val="00CF4C9B"/>
    <w:rsid w:val="00CF55A7"/>
    <w:rsid w:val="00CF56C1"/>
    <w:rsid w:val="00D02156"/>
    <w:rsid w:val="00D05EBE"/>
    <w:rsid w:val="00D11E4D"/>
    <w:rsid w:val="00D129D0"/>
    <w:rsid w:val="00D159EE"/>
    <w:rsid w:val="00D23049"/>
    <w:rsid w:val="00D23EA3"/>
    <w:rsid w:val="00D256CB"/>
    <w:rsid w:val="00D27206"/>
    <w:rsid w:val="00D304FF"/>
    <w:rsid w:val="00D33594"/>
    <w:rsid w:val="00D43468"/>
    <w:rsid w:val="00D43B4E"/>
    <w:rsid w:val="00D447CC"/>
    <w:rsid w:val="00D4784A"/>
    <w:rsid w:val="00D5204B"/>
    <w:rsid w:val="00D601FD"/>
    <w:rsid w:val="00D627B2"/>
    <w:rsid w:val="00D6315E"/>
    <w:rsid w:val="00D64EDE"/>
    <w:rsid w:val="00D662DE"/>
    <w:rsid w:val="00D72058"/>
    <w:rsid w:val="00D73F98"/>
    <w:rsid w:val="00D81C28"/>
    <w:rsid w:val="00D82178"/>
    <w:rsid w:val="00D86099"/>
    <w:rsid w:val="00D861A8"/>
    <w:rsid w:val="00D87861"/>
    <w:rsid w:val="00D90C72"/>
    <w:rsid w:val="00D91507"/>
    <w:rsid w:val="00D9184D"/>
    <w:rsid w:val="00D91FB4"/>
    <w:rsid w:val="00DA3573"/>
    <w:rsid w:val="00DB33D9"/>
    <w:rsid w:val="00DB452A"/>
    <w:rsid w:val="00DB7606"/>
    <w:rsid w:val="00DC1080"/>
    <w:rsid w:val="00DC269A"/>
    <w:rsid w:val="00DC57E8"/>
    <w:rsid w:val="00DC7197"/>
    <w:rsid w:val="00DD2360"/>
    <w:rsid w:val="00DD5378"/>
    <w:rsid w:val="00DE08E6"/>
    <w:rsid w:val="00DE57B7"/>
    <w:rsid w:val="00DE7F1A"/>
    <w:rsid w:val="00DF5B82"/>
    <w:rsid w:val="00E032F6"/>
    <w:rsid w:val="00E035A2"/>
    <w:rsid w:val="00E06BB3"/>
    <w:rsid w:val="00E13974"/>
    <w:rsid w:val="00E175F6"/>
    <w:rsid w:val="00E22536"/>
    <w:rsid w:val="00E27256"/>
    <w:rsid w:val="00E3010E"/>
    <w:rsid w:val="00E3102C"/>
    <w:rsid w:val="00E3311C"/>
    <w:rsid w:val="00E37EEF"/>
    <w:rsid w:val="00E404DD"/>
    <w:rsid w:val="00E43CB0"/>
    <w:rsid w:val="00E5012C"/>
    <w:rsid w:val="00E51DB2"/>
    <w:rsid w:val="00E55B28"/>
    <w:rsid w:val="00E625FE"/>
    <w:rsid w:val="00E62770"/>
    <w:rsid w:val="00E65AAB"/>
    <w:rsid w:val="00E72919"/>
    <w:rsid w:val="00E73D38"/>
    <w:rsid w:val="00E76B6A"/>
    <w:rsid w:val="00E770D8"/>
    <w:rsid w:val="00E770E3"/>
    <w:rsid w:val="00E77F6C"/>
    <w:rsid w:val="00EA12CF"/>
    <w:rsid w:val="00EA166C"/>
    <w:rsid w:val="00EA399D"/>
    <w:rsid w:val="00EB506C"/>
    <w:rsid w:val="00EB5803"/>
    <w:rsid w:val="00EB60F9"/>
    <w:rsid w:val="00EB7F12"/>
    <w:rsid w:val="00EC627B"/>
    <w:rsid w:val="00ED0788"/>
    <w:rsid w:val="00ED284E"/>
    <w:rsid w:val="00ED3591"/>
    <w:rsid w:val="00ED4F35"/>
    <w:rsid w:val="00ED5502"/>
    <w:rsid w:val="00EE025D"/>
    <w:rsid w:val="00EE2D20"/>
    <w:rsid w:val="00EE442E"/>
    <w:rsid w:val="00EE6E0C"/>
    <w:rsid w:val="00EE7956"/>
    <w:rsid w:val="00EF77A9"/>
    <w:rsid w:val="00F01F8A"/>
    <w:rsid w:val="00F15076"/>
    <w:rsid w:val="00F233C5"/>
    <w:rsid w:val="00F3079E"/>
    <w:rsid w:val="00F3382B"/>
    <w:rsid w:val="00F44799"/>
    <w:rsid w:val="00F46EE6"/>
    <w:rsid w:val="00F53B5C"/>
    <w:rsid w:val="00F53F66"/>
    <w:rsid w:val="00F546D0"/>
    <w:rsid w:val="00F601C7"/>
    <w:rsid w:val="00F60B30"/>
    <w:rsid w:val="00F633B1"/>
    <w:rsid w:val="00F6489A"/>
    <w:rsid w:val="00F70FE7"/>
    <w:rsid w:val="00F7535F"/>
    <w:rsid w:val="00F824E1"/>
    <w:rsid w:val="00F8292B"/>
    <w:rsid w:val="00F91530"/>
    <w:rsid w:val="00F9515E"/>
    <w:rsid w:val="00F95707"/>
    <w:rsid w:val="00F97968"/>
    <w:rsid w:val="00FA15DF"/>
    <w:rsid w:val="00FA2F4F"/>
    <w:rsid w:val="00FA39E0"/>
    <w:rsid w:val="00FA46A6"/>
    <w:rsid w:val="00FA65B0"/>
    <w:rsid w:val="00FB67C1"/>
    <w:rsid w:val="00FB6D6F"/>
    <w:rsid w:val="00FB7C47"/>
    <w:rsid w:val="00FC79B6"/>
    <w:rsid w:val="00FC7FE3"/>
    <w:rsid w:val="00FD15C3"/>
    <w:rsid w:val="00FD3C9E"/>
    <w:rsid w:val="00FD4DB7"/>
    <w:rsid w:val="00FD51C6"/>
    <w:rsid w:val="00FD5628"/>
    <w:rsid w:val="00FD7C91"/>
    <w:rsid w:val="00FE1542"/>
    <w:rsid w:val="00FF0325"/>
    <w:rsid w:val="00FF1572"/>
    <w:rsid w:val="00FF3A1A"/>
    <w:rsid w:val="00FF42E3"/>
    <w:rsid w:val="00FF45FD"/>
    <w:rsid w:val="00FF487D"/>
    <w:rsid w:val="00FF51E1"/>
    <w:rsid w:val="0EEB3357"/>
    <w:rsid w:val="24A9B4EB"/>
    <w:rsid w:val="30B8D21C"/>
    <w:rsid w:val="3918816A"/>
    <w:rsid w:val="4C9BBB08"/>
    <w:rsid w:val="510B80A8"/>
    <w:rsid w:val="652BB5C0"/>
    <w:rsid w:val="65FD241F"/>
    <w:rsid w:val="6B57D5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49A2"/>
  <w15:chartTrackingRefBased/>
  <w15:docId w15:val="{137D3AB9-F48F-47E7-85CE-A8734D79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46A6"/>
    <w:pPr>
      <w:ind w:left="720"/>
      <w:contextualSpacing/>
    </w:pPr>
  </w:style>
  <w:style w:type="paragraph" w:styleId="Textedebulles">
    <w:name w:val="Balloon Text"/>
    <w:basedOn w:val="Normal"/>
    <w:link w:val="TextedebullesCar"/>
    <w:uiPriority w:val="99"/>
    <w:semiHidden/>
    <w:unhideWhenUsed/>
    <w:rsid w:val="00132A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A5B"/>
    <w:rPr>
      <w:rFonts w:ascii="Segoe UI" w:hAnsi="Segoe UI" w:cs="Segoe UI"/>
      <w:sz w:val="18"/>
      <w:szCs w:val="18"/>
    </w:rPr>
  </w:style>
  <w:style w:type="table" w:styleId="Grilledutableau">
    <w:name w:val="Table Grid"/>
    <w:basedOn w:val="TableauNormal"/>
    <w:uiPriority w:val="39"/>
    <w:rsid w:val="00132A5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713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713D2"/>
    <w:rPr>
      <w:sz w:val="20"/>
      <w:szCs w:val="20"/>
    </w:rPr>
  </w:style>
  <w:style w:type="character" w:styleId="Appelnotedebasdep">
    <w:name w:val="footnote reference"/>
    <w:basedOn w:val="Policepardfaut"/>
    <w:uiPriority w:val="99"/>
    <w:semiHidden/>
    <w:unhideWhenUsed/>
    <w:rsid w:val="005713D2"/>
    <w:rPr>
      <w:vertAlign w:val="superscript"/>
    </w:rPr>
  </w:style>
  <w:style w:type="character" w:styleId="Lienhypertexte">
    <w:name w:val="Hyperlink"/>
    <w:basedOn w:val="Policepardfaut"/>
    <w:uiPriority w:val="99"/>
    <w:unhideWhenUsed/>
    <w:rsid w:val="00D627B2"/>
    <w:rPr>
      <w:color w:val="0563C1" w:themeColor="hyperlink"/>
      <w:u w:val="single"/>
    </w:rPr>
  </w:style>
  <w:style w:type="character" w:styleId="Mentionnonrsolue">
    <w:name w:val="Unresolved Mention"/>
    <w:basedOn w:val="Policepardfaut"/>
    <w:uiPriority w:val="99"/>
    <w:semiHidden/>
    <w:unhideWhenUsed/>
    <w:rsid w:val="00D627B2"/>
    <w:rPr>
      <w:color w:val="605E5C"/>
      <w:shd w:val="clear" w:color="auto" w:fill="E1DFDD"/>
    </w:rPr>
  </w:style>
  <w:style w:type="character" w:styleId="Marquedecommentaire">
    <w:name w:val="annotation reference"/>
    <w:basedOn w:val="Policepardfaut"/>
    <w:uiPriority w:val="99"/>
    <w:semiHidden/>
    <w:unhideWhenUsed/>
    <w:rsid w:val="00ED284E"/>
    <w:rPr>
      <w:sz w:val="16"/>
      <w:szCs w:val="16"/>
    </w:rPr>
  </w:style>
  <w:style w:type="paragraph" w:styleId="Commentaire">
    <w:name w:val="annotation text"/>
    <w:basedOn w:val="Normal"/>
    <w:link w:val="CommentaireCar"/>
    <w:uiPriority w:val="99"/>
    <w:semiHidden/>
    <w:unhideWhenUsed/>
    <w:rsid w:val="00ED284E"/>
    <w:pPr>
      <w:spacing w:line="240" w:lineRule="auto"/>
    </w:pPr>
    <w:rPr>
      <w:sz w:val="20"/>
      <w:szCs w:val="20"/>
    </w:rPr>
  </w:style>
  <w:style w:type="character" w:customStyle="1" w:styleId="CommentaireCar">
    <w:name w:val="Commentaire Car"/>
    <w:basedOn w:val="Policepardfaut"/>
    <w:link w:val="Commentaire"/>
    <w:uiPriority w:val="99"/>
    <w:semiHidden/>
    <w:rsid w:val="00ED284E"/>
    <w:rPr>
      <w:sz w:val="20"/>
      <w:szCs w:val="20"/>
    </w:rPr>
  </w:style>
  <w:style w:type="paragraph" w:styleId="Objetducommentaire">
    <w:name w:val="annotation subject"/>
    <w:basedOn w:val="Commentaire"/>
    <w:next w:val="Commentaire"/>
    <w:link w:val="ObjetducommentaireCar"/>
    <w:uiPriority w:val="99"/>
    <w:semiHidden/>
    <w:unhideWhenUsed/>
    <w:rsid w:val="00ED284E"/>
    <w:rPr>
      <w:b/>
      <w:bCs/>
    </w:rPr>
  </w:style>
  <w:style w:type="character" w:customStyle="1" w:styleId="ObjetducommentaireCar">
    <w:name w:val="Objet du commentaire Car"/>
    <w:basedOn w:val="CommentaireCar"/>
    <w:link w:val="Objetducommentaire"/>
    <w:uiPriority w:val="99"/>
    <w:semiHidden/>
    <w:rsid w:val="00ED284E"/>
    <w:rPr>
      <w:b/>
      <w:bCs/>
      <w:sz w:val="20"/>
      <w:szCs w:val="20"/>
    </w:rPr>
  </w:style>
  <w:style w:type="paragraph" w:styleId="En-tte">
    <w:name w:val="header"/>
    <w:basedOn w:val="Normal"/>
    <w:link w:val="En-tteCar"/>
    <w:uiPriority w:val="99"/>
    <w:semiHidden/>
    <w:unhideWhenUsed/>
    <w:rsid w:val="00693F4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3F49"/>
  </w:style>
  <w:style w:type="paragraph" w:styleId="Pieddepage">
    <w:name w:val="footer"/>
    <w:basedOn w:val="Normal"/>
    <w:link w:val="PieddepageCar"/>
    <w:uiPriority w:val="99"/>
    <w:semiHidden/>
    <w:unhideWhenUsed/>
    <w:rsid w:val="00693F4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3F49"/>
  </w:style>
  <w:style w:type="character" w:styleId="Lienhypertextesuivivisit">
    <w:name w:val="FollowedHyperlink"/>
    <w:basedOn w:val="Policepardfaut"/>
    <w:uiPriority w:val="99"/>
    <w:semiHidden/>
    <w:unhideWhenUsed/>
    <w:rsid w:val="00EB60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55583">
      <w:bodyDiv w:val="1"/>
      <w:marLeft w:val="0"/>
      <w:marRight w:val="0"/>
      <w:marTop w:val="0"/>
      <w:marBottom w:val="0"/>
      <w:divBdr>
        <w:top w:val="none" w:sz="0" w:space="0" w:color="auto"/>
        <w:left w:val="none" w:sz="0" w:space="0" w:color="auto"/>
        <w:bottom w:val="none" w:sz="0" w:space="0" w:color="auto"/>
        <w:right w:val="none" w:sz="0" w:space="0" w:color="auto"/>
      </w:divBdr>
    </w:div>
    <w:div w:id="582302392">
      <w:bodyDiv w:val="1"/>
      <w:marLeft w:val="0"/>
      <w:marRight w:val="0"/>
      <w:marTop w:val="0"/>
      <w:marBottom w:val="0"/>
      <w:divBdr>
        <w:top w:val="none" w:sz="0" w:space="0" w:color="auto"/>
        <w:left w:val="none" w:sz="0" w:space="0" w:color="auto"/>
        <w:bottom w:val="none" w:sz="0" w:space="0" w:color="auto"/>
        <w:right w:val="none" w:sz="0" w:space="0" w:color="auto"/>
      </w:divBdr>
    </w:div>
    <w:div w:id="958872905">
      <w:bodyDiv w:val="1"/>
      <w:marLeft w:val="0"/>
      <w:marRight w:val="0"/>
      <w:marTop w:val="0"/>
      <w:marBottom w:val="0"/>
      <w:divBdr>
        <w:top w:val="none" w:sz="0" w:space="0" w:color="auto"/>
        <w:left w:val="none" w:sz="0" w:space="0" w:color="auto"/>
        <w:bottom w:val="none" w:sz="0" w:space="0" w:color="auto"/>
        <w:right w:val="none" w:sz="0" w:space="0" w:color="auto"/>
      </w:divBdr>
    </w:div>
    <w:div w:id="982344281">
      <w:bodyDiv w:val="1"/>
      <w:marLeft w:val="0"/>
      <w:marRight w:val="0"/>
      <w:marTop w:val="0"/>
      <w:marBottom w:val="0"/>
      <w:divBdr>
        <w:top w:val="none" w:sz="0" w:space="0" w:color="auto"/>
        <w:left w:val="none" w:sz="0" w:space="0" w:color="auto"/>
        <w:bottom w:val="none" w:sz="0" w:space="0" w:color="auto"/>
        <w:right w:val="none" w:sz="0" w:space="0" w:color="auto"/>
      </w:divBdr>
    </w:div>
    <w:div w:id="1528518206">
      <w:bodyDiv w:val="1"/>
      <w:marLeft w:val="0"/>
      <w:marRight w:val="0"/>
      <w:marTop w:val="0"/>
      <w:marBottom w:val="0"/>
      <w:divBdr>
        <w:top w:val="none" w:sz="0" w:space="0" w:color="auto"/>
        <w:left w:val="none" w:sz="0" w:space="0" w:color="auto"/>
        <w:bottom w:val="none" w:sz="0" w:space="0" w:color="auto"/>
        <w:right w:val="none" w:sz="0" w:space="0" w:color="auto"/>
      </w:divBdr>
    </w:div>
    <w:div w:id="17135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file_import/2019-european-semester-country-specific-recommendation-commission-recommendation-belgium_fr.pdf" TargetMode="External"/><Relationship Id="rId2" Type="http://schemas.openxmlformats.org/officeDocument/2006/relationships/hyperlink" Target="https://ec.europa.eu/info/live-work-travel-eu/health/coronavirus-response/recovery-plan-europe/pillars-next-generation-eu_en" TargetMode="External"/><Relationship Id="rId1" Type="http://schemas.openxmlformats.org/officeDocument/2006/relationships/hyperlink" Target="https://ec.europa.eu/info/files/guidance-member-states-recovery-and-resilience-plans_en" TargetMode="External"/><Relationship Id="rId4" Type="http://schemas.openxmlformats.org/officeDocument/2006/relationships/hyperlink" Target="https://ec.europa.eu/info/sites/info/files/2020-european-semester-csr-comm-recommendation-belgium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C39C8B832B4A4987A10F214E1E50CD" ma:contentTypeVersion="11" ma:contentTypeDescription="Create a new document." ma:contentTypeScope="" ma:versionID="cbdf8618e9f167cd7b85bd197dc8247c">
  <xsd:schema xmlns:xsd="http://www.w3.org/2001/XMLSchema" xmlns:xs="http://www.w3.org/2001/XMLSchema" xmlns:p="http://schemas.microsoft.com/office/2006/metadata/properties" xmlns:ns3="18ffc67d-4d63-4aee-ae6b-b677709e18ba" xmlns:ns4="a0e5886c-4f68-4407-a64a-2a5530e139b2" targetNamespace="http://schemas.microsoft.com/office/2006/metadata/properties" ma:root="true" ma:fieldsID="6063e7d4f776ec21ef4342d58e9ab225" ns3:_="" ns4:_="">
    <xsd:import namespace="18ffc67d-4d63-4aee-ae6b-b677709e18ba"/>
    <xsd:import namespace="a0e5886c-4f68-4407-a64a-2a5530e139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fc67d-4d63-4aee-ae6b-b677709e1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5886c-4f68-4407-a64a-2a5530e139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EC9D3-1E33-49F7-9199-C659E27C4F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2D9E77-DB96-43BE-BCDB-EECCBCF67DB5}">
  <ds:schemaRefs>
    <ds:schemaRef ds:uri="http://schemas.openxmlformats.org/officeDocument/2006/bibliography"/>
  </ds:schemaRefs>
</ds:datastoreItem>
</file>

<file path=customXml/itemProps3.xml><?xml version="1.0" encoding="utf-8"?>
<ds:datastoreItem xmlns:ds="http://schemas.openxmlformats.org/officeDocument/2006/customXml" ds:itemID="{EC59CF6F-94D5-4287-9D0B-D619685DD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fc67d-4d63-4aee-ae6b-b677709e18ba"/>
    <ds:schemaRef ds:uri="a0e5886c-4f68-4407-a64a-2a5530e13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81EDF-4A7D-488B-9832-0151251FDF20}">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6</Pages>
  <Words>2523</Words>
  <Characters>13877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FOD WASO SPF ETCS</Company>
  <LinksUpToDate>false</LinksUpToDate>
  <CharactersWithSpaces>16368</CharactersWithSpaces>
  <SharedDoc>false</SharedDoc>
  <HLinks>
    <vt:vector size="30" baseType="variant">
      <vt:variant>
        <vt:i4>7864445</vt:i4>
      </vt:variant>
      <vt:variant>
        <vt:i4>12</vt:i4>
      </vt:variant>
      <vt:variant>
        <vt:i4>0</vt:i4>
      </vt:variant>
      <vt:variant>
        <vt:i4>5</vt:i4>
      </vt:variant>
      <vt:variant>
        <vt:lpwstr>https://ec.europa.eu/commission/presscorner/detail/fr/ip_19_6691</vt:lpwstr>
      </vt:variant>
      <vt:variant>
        <vt:lpwstr/>
      </vt:variant>
      <vt:variant>
        <vt:i4>7798810</vt:i4>
      </vt:variant>
      <vt:variant>
        <vt:i4>9</vt:i4>
      </vt:variant>
      <vt:variant>
        <vt:i4>0</vt:i4>
      </vt:variant>
      <vt:variant>
        <vt:i4>5</vt:i4>
      </vt:variant>
      <vt:variant>
        <vt:lpwstr>https://ec.europa.eu/info/sites/info/files/2020-european-semester-csr-comm-recommendation-belgium_fr.pdf</vt:lpwstr>
      </vt:variant>
      <vt:variant>
        <vt:lpwstr/>
      </vt:variant>
      <vt:variant>
        <vt:i4>8257648</vt:i4>
      </vt:variant>
      <vt:variant>
        <vt:i4>6</vt:i4>
      </vt:variant>
      <vt:variant>
        <vt:i4>0</vt:i4>
      </vt:variant>
      <vt:variant>
        <vt:i4>5</vt:i4>
      </vt:variant>
      <vt:variant>
        <vt:lpwstr>https://ec.europa.eu/info/sites/info/files/file_import/2019-european-semester-country-specific-recommendation-commission-recommendation-belgium_fr.pdf</vt:lpwstr>
      </vt:variant>
      <vt:variant>
        <vt:lpwstr/>
      </vt:variant>
      <vt:variant>
        <vt:i4>6357080</vt:i4>
      </vt:variant>
      <vt:variant>
        <vt:i4>3</vt:i4>
      </vt:variant>
      <vt:variant>
        <vt:i4>0</vt:i4>
      </vt:variant>
      <vt:variant>
        <vt:i4>5</vt:i4>
      </vt:variant>
      <vt:variant>
        <vt:lpwstr>https://ec.europa.eu/info/live-work-travel-eu/health/coronavirus-response/recovery-plan-europe/pillars-next-generation-eu_en</vt:lpwstr>
      </vt:variant>
      <vt:variant>
        <vt:lpwstr/>
      </vt:variant>
      <vt:variant>
        <vt:i4>7340082</vt:i4>
      </vt:variant>
      <vt:variant>
        <vt:i4>0</vt:i4>
      </vt:variant>
      <vt:variant>
        <vt:i4>0</vt:i4>
      </vt:variant>
      <vt:variant>
        <vt:i4>5</vt:i4>
      </vt:variant>
      <vt:variant>
        <vt:lpwstr>https://ec.europa.eu/info/sites/info/files/3_en_document_travail_service_part1_v3_en_0.pdf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DOURASSE Mouna</dc:creator>
  <cp:keywords/>
  <dc:description/>
  <cp:lastModifiedBy>Olivier Van der Maren</cp:lastModifiedBy>
  <cp:revision>2</cp:revision>
  <cp:lastPrinted>2020-10-30T21:29:00Z</cp:lastPrinted>
  <dcterms:created xsi:type="dcterms:W3CDTF">2020-11-09T19:45:00Z</dcterms:created>
  <dcterms:modified xsi:type="dcterms:W3CDTF">2020-11-09T19:45:00Z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0x01010069C39C8B832B4A4987A10F214E1E50CD</vt:lpwstr>
  </property>
</Properties>
</file>